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EA8" w:rsidRDefault="002843AD" w:rsidP="002843AD">
      <w:pPr>
        <w:pStyle w:val="Title"/>
        <w:bidi/>
        <w:rPr>
          <w:rtl/>
          <w:lang w:bidi="he-IL"/>
        </w:rPr>
      </w:pPr>
      <w:r>
        <w:rPr>
          <w:rFonts w:hint="cs"/>
          <w:rtl/>
          <w:lang w:bidi="he-IL"/>
        </w:rPr>
        <w:t xml:space="preserve">ביטול אזורי ארנונה </w:t>
      </w:r>
      <w:r>
        <w:rPr>
          <w:rtl/>
          <w:lang w:bidi="he-IL"/>
        </w:rPr>
        <w:t>–</w:t>
      </w:r>
      <w:r>
        <w:rPr>
          <w:rFonts w:hint="cs"/>
          <w:rtl/>
          <w:lang w:bidi="he-IL"/>
        </w:rPr>
        <w:t xml:space="preserve"> הצגת </w:t>
      </w:r>
      <w:r w:rsidR="00825AD2">
        <w:rPr>
          <w:rFonts w:hint="cs"/>
          <w:rtl/>
          <w:lang w:bidi="he-IL"/>
        </w:rPr>
        <w:t>ה</w:t>
      </w:r>
      <w:r>
        <w:rPr>
          <w:rFonts w:hint="cs"/>
          <w:rtl/>
          <w:lang w:bidi="he-IL"/>
        </w:rPr>
        <w:t>חלופה</w:t>
      </w:r>
    </w:p>
    <w:p w:rsidR="002843AD" w:rsidRDefault="002843AD" w:rsidP="002843AD">
      <w:pPr>
        <w:pStyle w:val="Heading1"/>
        <w:bidi/>
        <w:rPr>
          <w:rtl/>
          <w:lang w:bidi="he-IL"/>
        </w:rPr>
      </w:pPr>
      <w:r>
        <w:rPr>
          <w:rFonts w:hint="cs"/>
          <w:rtl/>
          <w:lang w:bidi="he-IL"/>
        </w:rPr>
        <w:t>רקע</w:t>
      </w:r>
    </w:p>
    <w:p w:rsidR="002843AD" w:rsidRDefault="002843AD" w:rsidP="002843AD">
      <w:pPr>
        <w:bidi/>
        <w:rPr>
          <w:rtl/>
          <w:lang w:bidi="he-IL"/>
        </w:rPr>
      </w:pPr>
      <w:r>
        <w:rPr>
          <w:rFonts w:hint="cs"/>
          <w:rtl/>
          <w:lang w:bidi="he-IL"/>
        </w:rPr>
        <w:t>אזורי הארנונה בערים מגדירים מדרגות תעריפים שונות בכל אזור. היסטורית (לפ</w:t>
      </w:r>
      <w:r w:rsidR="00825AD2">
        <w:rPr>
          <w:rFonts w:hint="cs"/>
          <w:rtl/>
          <w:lang w:bidi="he-IL"/>
        </w:rPr>
        <w:t>נ</w:t>
      </w:r>
      <w:r>
        <w:rPr>
          <w:rFonts w:hint="cs"/>
          <w:rtl/>
          <w:lang w:bidi="he-IL"/>
        </w:rPr>
        <w:t xml:space="preserve">י 1986) </w:t>
      </w:r>
      <w:r w:rsidR="00825AD2">
        <w:rPr>
          <w:rFonts w:hint="cs"/>
          <w:rtl/>
          <w:lang w:bidi="he-IL"/>
        </w:rPr>
        <w:t xml:space="preserve">נראה כי </w:t>
      </w:r>
      <w:r>
        <w:rPr>
          <w:rFonts w:hint="cs"/>
          <w:rtl/>
          <w:lang w:bidi="he-IL"/>
        </w:rPr>
        <w:t>אזורים אלה נקבעו ע"י הרשויות בהתאם לחוזק האוכלוסיה וזאת על מנת להקל על האוכלוסיות החלשות ולבדל את התעריפים בין אזורים בהן גרה אוכלוסיה חזקה ואוכלוס</w:t>
      </w:r>
      <w:r w:rsidR="00825AD2">
        <w:rPr>
          <w:rFonts w:hint="cs"/>
          <w:rtl/>
          <w:lang w:bidi="he-IL"/>
        </w:rPr>
        <w:t>יה חלשה. לאחר שהשליטה על תעריפי</w:t>
      </w:r>
      <w:r>
        <w:rPr>
          <w:rFonts w:hint="cs"/>
          <w:rtl/>
          <w:lang w:bidi="he-IL"/>
        </w:rPr>
        <w:t xml:space="preserve"> הארנונה נלקחה מהרשויות המקומיות ונקבעו הסדרים חדשים, אזורים הארנונה הקיימים בערים לא השתנו אך בידי הרשויות נותרו שני כלים מרכזיים על מנת להשתמש בגדרת אזורי הארנונה על מנת לייצר מדרגות תעריף שונות באזורים השונים בערים:</w:t>
      </w:r>
    </w:p>
    <w:p w:rsidR="002843AD" w:rsidRDefault="002843AD" w:rsidP="002843AD">
      <w:pPr>
        <w:pStyle w:val="ListParagraph"/>
        <w:numPr>
          <w:ilvl w:val="0"/>
          <w:numId w:val="1"/>
        </w:numPr>
        <w:bidi/>
        <w:rPr>
          <w:lang w:bidi="he-IL"/>
        </w:rPr>
      </w:pPr>
      <w:r>
        <w:rPr>
          <w:rFonts w:hint="cs"/>
          <w:rtl/>
          <w:lang w:bidi="he-IL"/>
        </w:rPr>
        <w:t>החלת אזור ארנונה חדש בשכונות חדשות. לרשויות המקומיות קיים "זכות ראשונים" לקבוע את תעריפי הארנונה באזורים חדשים בעיר אשר אינם נכללים באזורי הארנונה הקיימים. זכות ראשונים זו מעניקה לרשות לקבוע את התעריפים החלים באותו אזור. לאחר החלת אזור ארנונה חדש על השכונה, כל שינוי בתעריפים דורש את אישור משרד הפנים</w:t>
      </w:r>
    </w:p>
    <w:p w:rsidR="002843AD" w:rsidRDefault="002843AD" w:rsidP="002843AD">
      <w:pPr>
        <w:pStyle w:val="ListParagraph"/>
        <w:numPr>
          <w:ilvl w:val="0"/>
          <w:numId w:val="1"/>
        </w:numPr>
        <w:bidi/>
        <w:rPr>
          <w:lang w:bidi="he-IL"/>
        </w:rPr>
      </w:pPr>
      <w:r>
        <w:rPr>
          <w:rFonts w:hint="cs"/>
          <w:rtl/>
          <w:lang w:bidi="he-IL"/>
        </w:rPr>
        <w:t xml:space="preserve">החלת אזור ארנונה על מתחם חדש/קיים באזור ארנונה מוגדר במסגרת בקשות שינויים חריגות. רשות מקומית יכולה לבקש להחיל את התעריפים של אזור ארנונה מסוים על מתחם באזור ארנונה אחר (לרוב החלת תעריפים גבוהים בתחומי אזור ארנונה זול). רשויות מבצעות שינויים אלה במסגרת הקמת שכונות חדשות במתחמים מוגדרים (לרוב לפני האיכלוס) או משיקולים סוציואקונומיים </w:t>
      </w:r>
      <w:r>
        <w:rPr>
          <w:rtl/>
          <w:lang w:bidi="he-IL"/>
        </w:rPr>
        <w:t>–</w:t>
      </w:r>
      <w:r>
        <w:rPr>
          <w:rFonts w:hint="cs"/>
          <w:rtl/>
          <w:lang w:bidi="he-IL"/>
        </w:rPr>
        <w:t xml:space="preserve"> אוכלוסיית השכונה התחזקה ולכן יכולה לעמוד בתעריפים הגבוהים.</w:t>
      </w:r>
    </w:p>
    <w:p w:rsidR="002843AD" w:rsidRDefault="002843AD" w:rsidP="002843AD">
      <w:pPr>
        <w:bidi/>
        <w:rPr>
          <w:rtl/>
          <w:lang w:bidi="he-IL"/>
        </w:rPr>
      </w:pPr>
      <w:r>
        <w:rPr>
          <w:rFonts w:hint="cs"/>
          <w:rtl/>
          <w:lang w:bidi="he-IL"/>
        </w:rPr>
        <w:t>במסגרת נייר העמדה לשינויים במבנה הארנונה הוצגה גישה כי אזורי הארנונה יקבעו בחפיפה לאזורים הסטטיסטיים בהתאם לדירוג הסוציוקאונומי של כל אזור סטטיסטי. גישה זו לוקחת מידי הרשויות המקומיות את יכולת השליטה הישירה בתעריפים באזורים אך גם מאפשרת עידכון תעריפים "אוטומטי" כאשר האוכלוסיה באזורים הסטטיסטיים משנה את אופיה (מתחזקת או נחלשת) ובעקיפין מעודדת את הרשויות המקומיות לפעול בשני היבטים:</w:t>
      </w:r>
    </w:p>
    <w:p w:rsidR="002843AD" w:rsidRDefault="002843AD" w:rsidP="002843AD">
      <w:pPr>
        <w:pStyle w:val="ListParagraph"/>
        <w:numPr>
          <w:ilvl w:val="0"/>
          <w:numId w:val="2"/>
        </w:numPr>
        <w:bidi/>
        <w:rPr>
          <w:lang w:bidi="he-IL"/>
        </w:rPr>
      </w:pPr>
      <w:r>
        <w:rPr>
          <w:rFonts w:hint="cs"/>
          <w:rtl/>
          <w:lang w:bidi="he-IL"/>
        </w:rPr>
        <w:t>עידוד ההלמ"ס לעדכן את המידע על האזורים הסטטיסטיים בפרק זמן קצר מ-10 שנים, זאת על מנת שיהיה מידע עדכני יותר על אוכלוס</w:t>
      </w:r>
      <w:r w:rsidR="00BF6E45">
        <w:rPr>
          <w:rFonts w:hint="cs"/>
          <w:rtl/>
          <w:lang w:bidi="he-IL"/>
        </w:rPr>
        <w:t>י</w:t>
      </w:r>
      <w:r>
        <w:rPr>
          <w:rFonts w:hint="cs"/>
          <w:rtl/>
          <w:lang w:bidi="he-IL"/>
        </w:rPr>
        <w:t>ית הרשויות המקומיות</w:t>
      </w:r>
      <w:r w:rsidR="00BF6E45">
        <w:rPr>
          <w:rFonts w:hint="cs"/>
          <w:rtl/>
          <w:lang w:bidi="he-IL"/>
        </w:rPr>
        <w:t>. (בכדי שמקבלי ההחלטות יפעלו על סמך מידע עדכני ולא ישן)</w:t>
      </w:r>
    </w:p>
    <w:p w:rsidR="00BF6E45" w:rsidRDefault="00BF6E45" w:rsidP="00BF6E45">
      <w:pPr>
        <w:pStyle w:val="ListParagraph"/>
        <w:numPr>
          <w:ilvl w:val="0"/>
          <w:numId w:val="2"/>
        </w:numPr>
        <w:bidi/>
        <w:rPr>
          <w:lang w:bidi="he-IL"/>
        </w:rPr>
      </w:pPr>
      <w:r>
        <w:rPr>
          <w:rFonts w:hint="cs"/>
          <w:rtl/>
          <w:lang w:bidi="he-IL"/>
        </w:rPr>
        <w:t xml:space="preserve">עידוד הרשויות המקומיות להשקיע בחיזוק השכונות החלשות, בין היתר לטובת "הגזר" של העלאת התעריפים באותן שכונות באופן אוטומטי ולא </w:t>
      </w:r>
      <w:r w:rsidR="00825AD2">
        <w:rPr>
          <w:rFonts w:hint="cs"/>
          <w:rtl/>
          <w:lang w:bidi="he-IL"/>
        </w:rPr>
        <w:t xml:space="preserve">באופן </w:t>
      </w:r>
      <w:r>
        <w:rPr>
          <w:rFonts w:hint="cs"/>
          <w:rtl/>
          <w:lang w:bidi="he-IL"/>
        </w:rPr>
        <w:t>יזום.</w:t>
      </w:r>
    </w:p>
    <w:p w:rsidR="00BF6E45" w:rsidRDefault="00BF6E45" w:rsidP="00A8611E">
      <w:pPr>
        <w:bidi/>
        <w:rPr>
          <w:lang w:bidi="he-IL"/>
        </w:rPr>
      </w:pPr>
      <w:r>
        <w:rPr>
          <w:rFonts w:hint="cs"/>
          <w:rtl/>
          <w:lang w:bidi="he-IL"/>
        </w:rPr>
        <w:t xml:space="preserve">למרות שיקולים אלה קיימת דעה בקרב פעילים בנושא הארנונה כי שיטת אזורי הארנונה מייצרת אי שיוויוניות בין משלמי הארנונה שאינם נכללים באוכלוסיה החלשה </w:t>
      </w:r>
      <w:r>
        <w:rPr>
          <w:rtl/>
          <w:lang w:bidi="he-IL"/>
        </w:rPr>
        <w:t>–</w:t>
      </w:r>
      <w:r>
        <w:rPr>
          <w:rFonts w:hint="cs"/>
          <w:rtl/>
          <w:lang w:bidi="he-IL"/>
        </w:rPr>
        <w:t xml:space="preserve"> בעל נכס מדירוג סוציואקונומי גבוה ישלם פחות באזור ארנונה זול ובכך יופלה לטובה ביחס לבעל נכס מדירוג סוציואקונומי זהה שגם באזור ארנונה יקר. על אף שכותב מסמך זה רואה במנגנון </w:t>
      </w:r>
      <w:r w:rsidR="00A8611E">
        <w:rPr>
          <w:rFonts w:hint="cs"/>
          <w:rtl/>
          <w:lang w:bidi="he-IL"/>
        </w:rPr>
        <w:t xml:space="preserve">אזורי הארנונה </w:t>
      </w:r>
      <w:r>
        <w:rPr>
          <w:rFonts w:hint="cs"/>
          <w:rtl/>
          <w:lang w:bidi="he-IL"/>
        </w:rPr>
        <w:t>שהוגדר כמנגנון שנותן מענה לסוגיה זו</w:t>
      </w:r>
      <w:r w:rsidR="00A8611E">
        <w:rPr>
          <w:rFonts w:hint="cs"/>
          <w:rtl/>
          <w:lang w:bidi="he-IL"/>
        </w:rPr>
        <w:t xml:space="preserve"> (ואף יכול לעודד </w:t>
      </w:r>
      <w:r>
        <w:rPr>
          <w:rFonts w:hint="cs"/>
          <w:rtl/>
          <w:lang w:bidi="he-IL"/>
        </w:rPr>
        <w:t xml:space="preserve">מעבר יזום של תושבים חזקים לשכונות חלשות </w:t>
      </w:r>
      <w:r w:rsidR="00A8611E">
        <w:rPr>
          <w:rtl/>
          <w:lang w:bidi="he-IL"/>
        </w:rPr>
        <w:t>–</w:t>
      </w:r>
      <w:r w:rsidR="00A8611E">
        <w:rPr>
          <w:rFonts w:hint="cs"/>
          <w:rtl/>
          <w:lang w:bidi="he-IL"/>
        </w:rPr>
        <w:t xml:space="preserve"> השפעה </w:t>
      </w:r>
      <w:r>
        <w:rPr>
          <w:rFonts w:hint="cs"/>
          <w:rtl/>
          <w:lang w:bidi="he-IL"/>
        </w:rPr>
        <w:t>מבורכת</w:t>
      </w:r>
      <w:r w:rsidR="00A8611E">
        <w:rPr>
          <w:rFonts w:hint="cs"/>
          <w:rtl/>
          <w:lang w:bidi="he-IL"/>
        </w:rPr>
        <w:t>)</w:t>
      </w:r>
      <w:r>
        <w:rPr>
          <w:rFonts w:hint="cs"/>
          <w:rtl/>
          <w:lang w:bidi="he-IL"/>
        </w:rPr>
        <w:t xml:space="preserve">, הוחלט לבחון מה ההשלכות של ביטול אזורי הארנונה לחלוטין (קרי, כל העיר אזור ארנונה למגורים אחד) ומהם המנגנונים שנדרש ליישם על מנת לפצות את האוכלוסיות המוחלשות שצפויות </w:t>
      </w:r>
      <w:r w:rsidR="00A8611E">
        <w:rPr>
          <w:rFonts w:hint="cs"/>
          <w:rtl/>
          <w:lang w:bidi="he-IL"/>
        </w:rPr>
        <w:t xml:space="preserve">להיפגע ממהלך שכזה עקב </w:t>
      </w:r>
      <w:r>
        <w:rPr>
          <w:rFonts w:hint="cs"/>
          <w:rtl/>
          <w:lang w:bidi="he-IL"/>
        </w:rPr>
        <w:t xml:space="preserve">עליית </w:t>
      </w:r>
      <w:r w:rsidR="00A8611E">
        <w:rPr>
          <w:rFonts w:hint="cs"/>
          <w:rtl/>
          <w:lang w:bidi="he-IL"/>
        </w:rPr>
        <w:t>ה</w:t>
      </w:r>
      <w:r>
        <w:rPr>
          <w:rFonts w:hint="cs"/>
          <w:rtl/>
          <w:lang w:bidi="he-IL"/>
        </w:rPr>
        <w:t>תעריפים</w:t>
      </w:r>
      <w:r w:rsidR="00A8611E">
        <w:rPr>
          <w:rFonts w:hint="cs"/>
          <w:rtl/>
          <w:lang w:bidi="he-IL"/>
        </w:rPr>
        <w:t xml:space="preserve"> הצפויה</w:t>
      </w:r>
      <w:r>
        <w:rPr>
          <w:rFonts w:hint="cs"/>
          <w:rtl/>
          <w:lang w:bidi="he-IL"/>
        </w:rPr>
        <w:t>.</w:t>
      </w:r>
    </w:p>
    <w:p w:rsidR="001E6186" w:rsidRDefault="007F2914" w:rsidP="007F2914">
      <w:pPr>
        <w:pStyle w:val="Heading1"/>
        <w:bidi/>
        <w:rPr>
          <w:rtl/>
          <w:lang w:bidi="he-IL"/>
        </w:rPr>
      </w:pPr>
      <w:r>
        <w:rPr>
          <w:rFonts w:hint="cs"/>
          <w:rtl/>
          <w:lang w:bidi="he-IL"/>
        </w:rPr>
        <w:lastRenderedPageBreak/>
        <w:t>הסוגיות המכרזיות</w:t>
      </w:r>
    </w:p>
    <w:p w:rsidR="00081D7B" w:rsidRDefault="00081D7B" w:rsidP="00081D7B">
      <w:pPr>
        <w:pStyle w:val="Heading2"/>
        <w:bidi/>
        <w:rPr>
          <w:rtl/>
          <w:lang w:bidi="he-IL"/>
        </w:rPr>
      </w:pPr>
      <w:r>
        <w:rPr>
          <w:rFonts w:hint="cs"/>
          <w:rtl/>
          <w:lang w:bidi="he-IL"/>
        </w:rPr>
        <w:t>עליית תעריפי המינימום</w:t>
      </w:r>
    </w:p>
    <w:p w:rsidR="00A8611E" w:rsidRDefault="004D1C2F" w:rsidP="004D1C2F">
      <w:pPr>
        <w:bidi/>
        <w:rPr>
          <w:rtl/>
          <w:lang w:bidi="he-IL"/>
        </w:rPr>
      </w:pPr>
      <w:r>
        <w:rPr>
          <w:rFonts w:hint="cs"/>
          <w:rtl/>
          <w:lang w:bidi="he-IL"/>
        </w:rPr>
        <w:t xml:space="preserve">מעבר לצו ארנונה אחיד </w:t>
      </w:r>
      <w:r w:rsidR="001E6186">
        <w:rPr>
          <w:rFonts w:hint="cs"/>
          <w:rtl/>
          <w:lang w:bidi="he-IL"/>
        </w:rPr>
        <w:t>ידרוש עדכון משמעותי וחכם של תעריפי הארנונה ומדרגות הארנונה העירוניות</w:t>
      </w:r>
      <w:r>
        <w:rPr>
          <w:rFonts w:hint="cs"/>
          <w:rtl/>
          <w:lang w:bidi="he-IL"/>
        </w:rPr>
        <w:t xml:space="preserve">, במיוחד במידה והמעבר לצו זה יכלול ביטול אזורי ארנונה. </w:t>
      </w:r>
      <w:r w:rsidR="001E6186">
        <w:rPr>
          <w:rFonts w:hint="cs"/>
          <w:rtl/>
          <w:lang w:bidi="he-IL"/>
        </w:rPr>
        <w:t>עדכון זה יתבסס בעיקר על נתוני גודל הדירות</w:t>
      </w:r>
      <w:r w:rsidR="002E1ACA">
        <w:rPr>
          <w:rStyle w:val="FootnoteReference"/>
          <w:rtl/>
          <w:lang w:bidi="he-IL"/>
        </w:rPr>
        <w:footnoteReference w:id="1"/>
      </w:r>
      <w:r w:rsidR="001E6186">
        <w:rPr>
          <w:rFonts w:hint="cs"/>
          <w:rtl/>
          <w:lang w:bidi="he-IL"/>
        </w:rPr>
        <w:t xml:space="preserve"> </w:t>
      </w:r>
      <w:r w:rsidR="002E1ACA">
        <w:rPr>
          <w:rFonts w:hint="cs"/>
          <w:rtl/>
          <w:lang w:bidi="he-IL"/>
        </w:rPr>
        <w:t>אשר מתוכם נגזר התשלום,</w:t>
      </w:r>
      <w:r w:rsidR="001E6186">
        <w:rPr>
          <w:rFonts w:hint="cs"/>
          <w:rtl/>
          <w:lang w:bidi="he-IL"/>
        </w:rPr>
        <w:t xml:space="preserve"> כאשר הכוונה העיקרית בעדכון זה תהיה לשמר את הכנסות הרשות מארנונה למגורים</w:t>
      </w:r>
      <w:r w:rsidR="007F2914">
        <w:rPr>
          <w:rStyle w:val="FootnoteReference"/>
          <w:rtl/>
          <w:lang w:bidi="he-IL"/>
        </w:rPr>
        <w:footnoteReference w:id="2"/>
      </w:r>
      <w:r w:rsidR="001E6186">
        <w:rPr>
          <w:rFonts w:hint="cs"/>
          <w:rtl/>
          <w:lang w:bidi="he-IL"/>
        </w:rPr>
        <w:t>. התעריפים החדשים ומדרגות התעריפים החדשות יקבלו ערכים ש</w:t>
      </w:r>
      <w:r w:rsidR="002E1ACA">
        <w:rPr>
          <w:rFonts w:hint="cs"/>
          <w:rtl/>
          <w:lang w:bidi="he-IL"/>
        </w:rPr>
        <w:t xml:space="preserve">נעים </w:t>
      </w:r>
      <w:r w:rsidR="001E6186">
        <w:rPr>
          <w:rFonts w:hint="cs"/>
          <w:rtl/>
          <w:lang w:bidi="he-IL"/>
        </w:rPr>
        <w:t xml:space="preserve">בין הערכים </w:t>
      </w:r>
      <w:r>
        <w:rPr>
          <w:rFonts w:hint="cs"/>
          <w:rtl/>
          <w:lang w:bidi="he-IL"/>
        </w:rPr>
        <w:t xml:space="preserve">הקיימים </w:t>
      </w:r>
      <w:r w:rsidR="001E6186">
        <w:rPr>
          <w:rFonts w:hint="cs"/>
          <w:rtl/>
          <w:lang w:bidi="he-IL"/>
        </w:rPr>
        <w:t>של אזורי הארנונה היקרים ביותר ו</w:t>
      </w:r>
      <w:r w:rsidR="002E1ACA">
        <w:rPr>
          <w:rFonts w:hint="cs"/>
          <w:rtl/>
          <w:lang w:bidi="he-IL"/>
        </w:rPr>
        <w:t xml:space="preserve">בין הערכים </w:t>
      </w:r>
      <w:r>
        <w:rPr>
          <w:rFonts w:hint="cs"/>
          <w:rtl/>
          <w:lang w:bidi="he-IL"/>
        </w:rPr>
        <w:t xml:space="preserve">הקיימים </w:t>
      </w:r>
      <w:r w:rsidR="002E1ACA">
        <w:rPr>
          <w:rFonts w:hint="cs"/>
          <w:rtl/>
          <w:lang w:bidi="he-IL"/>
        </w:rPr>
        <w:t xml:space="preserve">של </w:t>
      </w:r>
      <w:r w:rsidR="001E6186">
        <w:rPr>
          <w:rFonts w:hint="cs"/>
          <w:rtl/>
          <w:lang w:bidi="he-IL"/>
        </w:rPr>
        <w:t>אזורי הארנונה הזולים ביותר. בשל מצב זה תושבי אזורי הארנונה הזולים ביותר יחוו עליית תעריפים שיכולה לנוע בין אחוזים בודדים לעשרות אחוזים, בהתאם לפערים הקיימים בערים השונות</w:t>
      </w:r>
      <w:r w:rsidR="00A8611E">
        <w:rPr>
          <w:rFonts w:hint="cs"/>
          <w:rtl/>
          <w:lang w:bidi="he-IL"/>
        </w:rPr>
        <w:t>, כפי שניתן לראות בטבלה הבאה:</w:t>
      </w:r>
    </w:p>
    <w:tbl>
      <w:tblPr>
        <w:bidiVisual/>
        <w:tblW w:w="5753" w:type="dxa"/>
        <w:jc w:val="center"/>
        <w:tblInd w:w="98" w:type="dxa"/>
        <w:tblLook w:val="04A0"/>
      </w:tblPr>
      <w:tblGrid>
        <w:gridCol w:w="1101"/>
        <w:gridCol w:w="4652"/>
      </w:tblGrid>
      <w:tr w:rsidR="00A8611E" w:rsidRPr="00A8611E" w:rsidTr="00913237">
        <w:trPr>
          <w:trHeight w:val="259"/>
          <w:jc w:val="center"/>
        </w:trPr>
        <w:tc>
          <w:tcPr>
            <w:tcW w:w="1101"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 </w:t>
            </w:r>
          </w:p>
        </w:tc>
        <w:tc>
          <w:tcPr>
            <w:tcW w:w="4652" w:type="dxa"/>
            <w:tcBorders>
              <w:top w:val="single" w:sz="8" w:space="0" w:color="auto"/>
              <w:left w:val="single" w:sz="4" w:space="0" w:color="auto"/>
              <w:bottom w:val="nil"/>
              <w:right w:val="single" w:sz="8" w:space="0" w:color="auto"/>
            </w:tcBorders>
            <w:shd w:val="clear" w:color="auto" w:fill="auto"/>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פערים בין האזור היקר לאזור הזול לנכסים בסיווג גודל זהה</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באר שבע</w:t>
            </w:r>
          </w:p>
        </w:tc>
        <w:tc>
          <w:tcPr>
            <w:tcW w:w="4652"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119.70%</w:t>
            </w:r>
          </w:p>
        </w:tc>
      </w:tr>
      <w:tr w:rsidR="00A8611E" w:rsidRPr="00A8611E" w:rsidTr="00913237">
        <w:trPr>
          <w:trHeight w:val="315"/>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הוד השרון</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106.7%-120.1%</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חולון</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127.7%-272.0%</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חיפה</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113.5%-267.6%</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ירושלים</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163.2%-232.0%</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כפר סבא</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103.4%-129.8%</w:t>
            </w:r>
          </w:p>
        </w:tc>
      </w:tr>
      <w:tr w:rsidR="00A8611E" w:rsidRPr="00A8611E" w:rsidTr="00913237">
        <w:trPr>
          <w:trHeight w:val="315"/>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נתניה</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118.5%-177.1%</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פתח תקוה</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129.7%-177.2%</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רמת גן</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104.4%-166.6%</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הרצליה</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338.20%</w:t>
            </w:r>
          </w:p>
        </w:tc>
      </w:tr>
      <w:tr w:rsidR="00A8611E" w:rsidRPr="00A8611E" w:rsidTr="00913237">
        <w:trPr>
          <w:trHeight w:val="300"/>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רעננה</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112.8%-123.0%</w:t>
            </w:r>
          </w:p>
        </w:tc>
      </w:tr>
      <w:tr w:rsidR="00A8611E" w:rsidRPr="00A8611E" w:rsidTr="00913237">
        <w:trPr>
          <w:trHeight w:val="315"/>
          <w:jc w:val="center"/>
        </w:trPr>
        <w:tc>
          <w:tcPr>
            <w:tcW w:w="1101" w:type="dxa"/>
            <w:tcBorders>
              <w:top w:val="nil"/>
              <w:left w:val="single" w:sz="8" w:space="0" w:color="auto"/>
              <w:bottom w:val="single" w:sz="4"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תל אביב</w:t>
            </w:r>
          </w:p>
        </w:tc>
        <w:tc>
          <w:tcPr>
            <w:tcW w:w="4652" w:type="dxa"/>
            <w:tcBorders>
              <w:top w:val="nil"/>
              <w:left w:val="single" w:sz="8" w:space="0" w:color="auto"/>
              <w:bottom w:val="single" w:sz="4"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136.1%-286.7%</w:t>
            </w:r>
          </w:p>
        </w:tc>
      </w:tr>
      <w:tr w:rsidR="00A8611E" w:rsidRPr="00A8611E" w:rsidTr="00913237">
        <w:trPr>
          <w:trHeight w:val="315"/>
          <w:jc w:val="center"/>
        </w:trPr>
        <w:tc>
          <w:tcPr>
            <w:tcW w:w="1101" w:type="dxa"/>
            <w:tcBorders>
              <w:top w:val="nil"/>
              <w:left w:val="single" w:sz="8" w:space="0" w:color="auto"/>
              <w:bottom w:val="single" w:sz="8" w:space="0" w:color="auto"/>
              <w:right w:val="nil"/>
            </w:tcBorders>
            <w:shd w:val="clear" w:color="auto" w:fill="auto"/>
            <w:noWrap/>
            <w:vAlign w:val="bottom"/>
            <w:hideMark/>
          </w:tcPr>
          <w:p w:rsidR="00A8611E" w:rsidRPr="00A8611E" w:rsidRDefault="00A8611E" w:rsidP="00A8611E">
            <w:pPr>
              <w:bidi/>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rtl/>
                <w:lang w:bidi="he-IL"/>
              </w:rPr>
              <w:t>בני ברק</w:t>
            </w:r>
          </w:p>
        </w:tc>
        <w:tc>
          <w:tcPr>
            <w:tcW w:w="4652" w:type="dxa"/>
            <w:tcBorders>
              <w:top w:val="nil"/>
              <w:left w:val="single" w:sz="8" w:space="0" w:color="auto"/>
              <w:bottom w:val="single" w:sz="8" w:space="0" w:color="auto"/>
              <w:right w:val="single" w:sz="8" w:space="0" w:color="auto"/>
            </w:tcBorders>
            <w:shd w:val="clear" w:color="auto" w:fill="auto"/>
            <w:noWrap/>
            <w:vAlign w:val="bottom"/>
            <w:hideMark/>
          </w:tcPr>
          <w:p w:rsidR="00A8611E" w:rsidRPr="00A8611E" w:rsidRDefault="00A8611E" w:rsidP="00A8611E">
            <w:pPr>
              <w:spacing w:after="0" w:line="240" w:lineRule="auto"/>
              <w:jc w:val="center"/>
              <w:rPr>
                <w:rFonts w:ascii="Calibri" w:eastAsia="Times New Roman" w:hAnsi="Calibri" w:cs="Times New Roman"/>
                <w:color w:val="000000"/>
                <w:lang w:bidi="he-IL"/>
              </w:rPr>
            </w:pPr>
            <w:r w:rsidRPr="00A8611E">
              <w:rPr>
                <w:rFonts w:ascii="Calibri" w:eastAsia="Times New Roman" w:hAnsi="Calibri" w:cs="Times New Roman"/>
                <w:color w:val="000000"/>
                <w:lang w:bidi="he-IL"/>
              </w:rPr>
              <w:t>102.7%-112.2%</w:t>
            </w:r>
          </w:p>
        </w:tc>
      </w:tr>
    </w:tbl>
    <w:p w:rsidR="00A8611E" w:rsidRPr="00913237" w:rsidRDefault="00913237" w:rsidP="00913237">
      <w:pPr>
        <w:pStyle w:val="Caption"/>
        <w:bidi/>
        <w:jc w:val="center"/>
        <w:rPr>
          <w:color w:val="auto"/>
          <w:sz w:val="20"/>
          <w:szCs w:val="20"/>
          <w:u w:val="single"/>
          <w:rtl/>
          <w:lang w:bidi="he-IL"/>
        </w:rPr>
      </w:pPr>
      <w:r w:rsidRPr="00913237">
        <w:rPr>
          <w:rFonts w:hint="cs"/>
          <w:color w:val="auto"/>
          <w:sz w:val="20"/>
          <w:szCs w:val="20"/>
          <w:u w:val="single"/>
          <w:rtl/>
          <w:lang w:bidi="he-IL"/>
        </w:rPr>
        <w:t>טבלה</w:t>
      </w:r>
      <w:r w:rsidRPr="00913237">
        <w:rPr>
          <w:color w:val="auto"/>
          <w:sz w:val="20"/>
          <w:szCs w:val="20"/>
          <w:u w:val="single"/>
          <w:rtl/>
          <w:lang w:bidi="he-IL"/>
        </w:rPr>
        <w:t xml:space="preserve"> </w:t>
      </w:r>
      <w:r w:rsidRPr="00913237">
        <w:rPr>
          <w:color w:val="auto"/>
          <w:sz w:val="20"/>
          <w:szCs w:val="20"/>
          <w:u w:val="single"/>
          <w:rtl/>
          <w:lang w:bidi="he-IL"/>
        </w:rPr>
        <w:fldChar w:fldCharType="begin"/>
      </w:r>
      <w:r w:rsidRPr="00913237">
        <w:rPr>
          <w:color w:val="auto"/>
          <w:sz w:val="20"/>
          <w:szCs w:val="20"/>
          <w:u w:val="single"/>
          <w:rtl/>
          <w:lang w:bidi="he-IL"/>
        </w:rPr>
        <w:instrText xml:space="preserve"> </w:instrText>
      </w:r>
      <w:r w:rsidRPr="00913237">
        <w:rPr>
          <w:color w:val="auto"/>
          <w:sz w:val="20"/>
          <w:szCs w:val="20"/>
          <w:u w:val="single"/>
          <w:lang w:bidi="he-IL"/>
        </w:rPr>
        <w:instrText>SEQ</w:instrText>
      </w:r>
      <w:r w:rsidRPr="00913237">
        <w:rPr>
          <w:color w:val="auto"/>
          <w:sz w:val="20"/>
          <w:szCs w:val="20"/>
          <w:u w:val="single"/>
          <w:rtl/>
          <w:lang w:bidi="he-IL"/>
        </w:rPr>
        <w:instrText xml:space="preserve"> טבלה \* </w:instrText>
      </w:r>
      <w:r w:rsidRPr="00913237">
        <w:rPr>
          <w:color w:val="auto"/>
          <w:sz w:val="20"/>
          <w:szCs w:val="20"/>
          <w:u w:val="single"/>
          <w:lang w:bidi="he-IL"/>
        </w:rPr>
        <w:instrText>ARABIC</w:instrText>
      </w:r>
      <w:r w:rsidRPr="00913237">
        <w:rPr>
          <w:color w:val="auto"/>
          <w:sz w:val="20"/>
          <w:szCs w:val="20"/>
          <w:u w:val="single"/>
          <w:rtl/>
          <w:lang w:bidi="he-IL"/>
        </w:rPr>
        <w:instrText xml:space="preserve"> </w:instrText>
      </w:r>
      <w:r w:rsidRPr="00913237">
        <w:rPr>
          <w:color w:val="auto"/>
          <w:sz w:val="20"/>
          <w:szCs w:val="20"/>
          <w:u w:val="single"/>
          <w:rtl/>
          <w:lang w:bidi="he-IL"/>
        </w:rPr>
        <w:fldChar w:fldCharType="separate"/>
      </w:r>
      <w:r w:rsidR="00EE4CAD">
        <w:rPr>
          <w:noProof/>
          <w:color w:val="auto"/>
          <w:sz w:val="20"/>
          <w:szCs w:val="20"/>
          <w:u w:val="single"/>
          <w:rtl/>
          <w:lang w:bidi="he-IL"/>
        </w:rPr>
        <w:t>1</w:t>
      </w:r>
      <w:r w:rsidRPr="00913237">
        <w:rPr>
          <w:color w:val="auto"/>
          <w:sz w:val="20"/>
          <w:szCs w:val="20"/>
          <w:u w:val="single"/>
          <w:rtl/>
          <w:lang w:bidi="he-IL"/>
        </w:rPr>
        <w:fldChar w:fldCharType="end"/>
      </w:r>
      <w:r w:rsidRPr="00913237">
        <w:rPr>
          <w:noProof/>
          <w:color w:val="auto"/>
          <w:sz w:val="20"/>
          <w:szCs w:val="20"/>
          <w:u w:val="single"/>
          <w:rtl/>
          <w:lang w:bidi="he-IL"/>
        </w:rPr>
        <w:t xml:space="preserve"> </w:t>
      </w:r>
      <w:r w:rsidRPr="00913237">
        <w:rPr>
          <w:rFonts w:hint="cs"/>
          <w:noProof/>
          <w:color w:val="auto"/>
          <w:sz w:val="20"/>
          <w:szCs w:val="20"/>
          <w:u w:val="single"/>
          <w:rtl/>
          <w:lang w:bidi="he-IL"/>
        </w:rPr>
        <w:t>- פערי המחירים בין אזורי הארנונה לסיווג מגורים</w:t>
      </w:r>
    </w:p>
    <w:p w:rsidR="001E6186" w:rsidRDefault="00692F21" w:rsidP="00692F21">
      <w:pPr>
        <w:bidi/>
        <w:rPr>
          <w:rtl/>
          <w:lang w:bidi="he-IL"/>
        </w:rPr>
      </w:pPr>
      <w:r>
        <w:rPr>
          <w:rFonts w:hint="cs"/>
          <w:rtl/>
          <w:lang w:bidi="he-IL"/>
        </w:rPr>
        <w:t>לאור הצפי ל</w:t>
      </w:r>
      <w:r w:rsidR="001E6186">
        <w:rPr>
          <w:rFonts w:hint="cs"/>
          <w:rtl/>
          <w:lang w:bidi="he-IL"/>
        </w:rPr>
        <w:t>ייקור של הארנונה</w:t>
      </w:r>
      <w:r>
        <w:rPr>
          <w:rFonts w:hint="cs"/>
          <w:rtl/>
          <w:lang w:bidi="he-IL"/>
        </w:rPr>
        <w:t>, נדרש לייצר מנגנון</w:t>
      </w:r>
      <w:r w:rsidR="001E6186">
        <w:rPr>
          <w:rFonts w:hint="cs"/>
          <w:rtl/>
          <w:lang w:bidi="he-IL"/>
        </w:rPr>
        <w:t xml:space="preserve"> פיצוי לשתי אוכלוסיות</w:t>
      </w:r>
      <w:r w:rsidR="002E1ACA">
        <w:rPr>
          <w:rFonts w:hint="cs"/>
          <w:rtl/>
          <w:lang w:bidi="he-IL"/>
        </w:rPr>
        <w:t xml:space="preserve"> </w:t>
      </w:r>
      <w:r>
        <w:rPr>
          <w:rFonts w:hint="cs"/>
          <w:rtl/>
          <w:lang w:bidi="he-IL"/>
        </w:rPr>
        <w:t xml:space="preserve">ספציפיות </w:t>
      </w:r>
      <w:r w:rsidR="002E1ACA">
        <w:rPr>
          <w:rFonts w:hint="cs"/>
          <w:rtl/>
          <w:lang w:bidi="he-IL"/>
        </w:rPr>
        <w:t>שגרות באזורים הזולים (והחלשים):</w:t>
      </w:r>
    </w:p>
    <w:p w:rsidR="001E6186" w:rsidRDefault="002E1ACA" w:rsidP="004D1C2F">
      <w:pPr>
        <w:pStyle w:val="ListParagraph"/>
        <w:numPr>
          <w:ilvl w:val="0"/>
          <w:numId w:val="3"/>
        </w:numPr>
        <w:bidi/>
        <w:rPr>
          <w:lang w:bidi="he-IL"/>
        </w:rPr>
      </w:pPr>
      <w:r>
        <w:rPr>
          <w:rFonts w:hint="cs"/>
          <w:rtl/>
          <w:lang w:bidi="he-IL"/>
        </w:rPr>
        <w:t xml:space="preserve">אוכלוסיית מקבלי הנחה לפי מבחן הכנסה </w:t>
      </w:r>
      <w:r>
        <w:rPr>
          <w:rtl/>
          <w:lang w:bidi="he-IL"/>
        </w:rPr>
        <w:t>–</w:t>
      </w:r>
      <w:r>
        <w:rPr>
          <w:rFonts w:hint="cs"/>
          <w:rtl/>
          <w:lang w:bidi="he-IL"/>
        </w:rPr>
        <w:t xml:space="preserve"> אוכלוסיה זו </w:t>
      </w:r>
      <w:r w:rsidR="001E6186">
        <w:rPr>
          <w:rFonts w:hint="cs"/>
          <w:rtl/>
          <w:lang w:bidi="he-IL"/>
        </w:rPr>
        <w:t>מקבל</w:t>
      </w:r>
      <w:r>
        <w:rPr>
          <w:rFonts w:hint="cs"/>
          <w:rtl/>
          <w:lang w:bidi="he-IL"/>
        </w:rPr>
        <w:t>ת</w:t>
      </w:r>
      <w:r w:rsidR="001E6186">
        <w:rPr>
          <w:rFonts w:hint="cs"/>
          <w:rtl/>
          <w:lang w:bidi="he-IL"/>
        </w:rPr>
        <w:t xml:space="preserve"> הנחות בארנונה </w:t>
      </w:r>
      <w:r w:rsidR="004D1C2F">
        <w:rPr>
          <w:rFonts w:hint="cs"/>
          <w:rtl/>
          <w:lang w:bidi="he-IL"/>
        </w:rPr>
        <w:t xml:space="preserve">(בין 40%-90%) </w:t>
      </w:r>
      <w:r w:rsidR="001E6186">
        <w:rPr>
          <w:rFonts w:hint="cs"/>
          <w:rtl/>
          <w:lang w:bidi="he-IL"/>
        </w:rPr>
        <w:t xml:space="preserve">על בסיס מבחן הכנסה. היות והנחה זו </w:t>
      </w:r>
      <w:r>
        <w:rPr>
          <w:rFonts w:hint="cs"/>
          <w:rtl/>
          <w:lang w:bidi="he-IL"/>
        </w:rPr>
        <w:t xml:space="preserve">נגזרת </w:t>
      </w:r>
      <w:r w:rsidR="001E6186">
        <w:rPr>
          <w:rFonts w:hint="cs"/>
          <w:rtl/>
          <w:lang w:bidi="he-IL"/>
        </w:rPr>
        <w:t>מהתעריף, הם יחוו עליית תעריפים, גם אם זו תהיה עלייה שממותנת ע"י ההנחה שהם מקבלים.</w:t>
      </w:r>
      <w:r>
        <w:rPr>
          <w:rtl/>
          <w:lang w:bidi="he-IL"/>
        </w:rPr>
        <w:br/>
      </w:r>
      <w:r>
        <w:rPr>
          <w:rFonts w:hint="cs"/>
          <w:rtl/>
          <w:lang w:bidi="he-IL"/>
        </w:rPr>
        <w:t xml:space="preserve">הנחת המוצא של בדיקה זו היא שעיקר אוכלוסיה זו גרה באזורים בהם התעריף הוא המינימום הקבוע בחוק או </w:t>
      </w:r>
      <w:r w:rsidR="004D1C2F">
        <w:rPr>
          <w:rFonts w:hint="cs"/>
          <w:rtl/>
          <w:lang w:bidi="he-IL"/>
        </w:rPr>
        <w:t>המינימום הנהוג ברשות</w:t>
      </w:r>
      <w:r>
        <w:rPr>
          <w:rFonts w:hint="cs"/>
          <w:rtl/>
          <w:lang w:bidi="he-IL"/>
        </w:rPr>
        <w:t>. השלכות הנחה זו יוצגו בהמשך.</w:t>
      </w:r>
    </w:p>
    <w:p w:rsidR="001E6186" w:rsidRDefault="002E1ACA" w:rsidP="009924DE">
      <w:pPr>
        <w:pStyle w:val="ListParagraph"/>
        <w:numPr>
          <w:ilvl w:val="0"/>
          <w:numId w:val="3"/>
        </w:numPr>
        <w:bidi/>
        <w:rPr>
          <w:lang w:bidi="he-IL"/>
        </w:rPr>
      </w:pPr>
      <w:r>
        <w:rPr>
          <w:rFonts w:hint="cs"/>
          <w:rtl/>
          <w:lang w:bidi="he-IL"/>
        </w:rPr>
        <w:t>אוכלוסיית בעלי הכנסה גבולית להנחות</w:t>
      </w:r>
      <w:r w:rsidR="009924DE">
        <w:rPr>
          <w:rStyle w:val="FootnoteReference"/>
          <w:rtl/>
          <w:lang w:bidi="he-IL"/>
        </w:rPr>
        <w:footnoteReference w:id="3"/>
      </w:r>
      <w:r>
        <w:rPr>
          <w:rFonts w:hint="cs"/>
          <w:rtl/>
          <w:lang w:bidi="he-IL"/>
        </w:rPr>
        <w:t xml:space="preserve"> - </w:t>
      </w:r>
      <w:r w:rsidR="001E6186">
        <w:rPr>
          <w:rFonts w:hint="cs"/>
          <w:rtl/>
          <w:lang w:bidi="he-IL"/>
        </w:rPr>
        <w:t xml:space="preserve">באזורים הזולים קיימת אוכלוסיה חלשה אשר הכנסתה גבוהה במעט מההכנסה אשר מזכה בהנחות ארנונה. שינוי התעריפים כתוצאה מאזור אחיד יפגע באוכלוסיה זו </w:t>
      </w:r>
      <w:r w:rsidR="001E6186">
        <w:rPr>
          <w:rFonts w:hint="cs"/>
          <w:rtl/>
          <w:lang w:bidi="he-IL"/>
        </w:rPr>
        <w:lastRenderedPageBreak/>
        <w:t>באופן המשמעותי ביותר</w:t>
      </w:r>
      <w:r w:rsidR="00B77913">
        <w:rPr>
          <w:rStyle w:val="FootnoteReference"/>
          <w:rtl/>
          <w:lang w:bidi="he-IL"/>
        </w:rPr>
        <w:footnoteReference w:id="4"/>
      </w:r>
      <w:r>
        <w:rPr>
          <w:rFonts w:hint="cs"/>
          <w:rtl/>
          <w:lang w:bidi="he-IL"/>
        </w:rPr>
        <w:t xml:space="preserve">. קיימת סבירות </w:t>
      </w:r>
      <w:r w:rsidR="00460D68">
        <w:rPr>
          <w:rFonts w:hint="cs"/>
          <w:rtl/>
          <w:lang w:bidi="he-IL"/>
        </w:rPr>
        <w:t>כי השינוי ישאיר בידי אוכלוסיה זו פחות הכנסה פנויה ביחס לאוכלוסיה שזכאית להנחה עקב מבחן ההכנסה.</w:t>
      </w:r>
      <w:r w:rsidR="00955ED4">
        <w:rPr>
          <w:rFonts w:hint="cs"/>
          <w:rtl/>
          <w:lang w:bidi="he-IL"/>
        </w:rPr>
        <w:t xml:space="preserve"> </w:t>
      </w:r>
    </w:p>
    <w:p w:rsidR="00081D7B" w:rsidRDefault="00081D7B" w:rsidP="00081D7B">
      <w:pPr>
        <w:pStyle w:val="Heading2"/>
        <w:bidi/>
        <w:rPr>
          <w:rtl/>
          <w:lang w:bidi="he-IL"/>
        </w:rPr>
      </w:pPr>
      <w:r>
        <w:rPr>
          <w:rFonts w:hint="cs"/>
          <w:rtl/>
          <w:lang w:bidi="he-IL"/>
        </w:rPr>
        <w:t>הבדלי תעריפי המינימום בין הרשויות המקומיות</w:t>
      </w:r>
    </w:p>
    <w:p w:rsidR="00AE3AFC" w:rsidRDefault="00AE3AFC" w:rsidP="004D1C2F">
      <w:pPr>
        <w:bidi/>
        <w:rPr>
          <w:rtl/>
          <w:lang w:bidi="he-IL"/>
        </w:rPr>
      </w:pPr>
      <w:r>
        <w:rPr>
          <w:rFonts w:hint="cs"/>
          <w:rtl/>
          <w:lang w:bidi="he-IL"/>
        </w:rPr>
        <w:t>קושי נ</w:t>
      </w:r>
      <w:r w:rsidR="00081D7B">
        <w:rPr>
          <w:rFonts w:hint="cs"/>
          <w:rtl/>
          <w:lang w:bidi="he-IL"/>
        </w:rPr>
        <w:t xml:space="preserve">וסף שנוצר ביצירת מנגנוני הפיצוי נובע מהפערים הקיימים בין התעריפים המינימליים ברשויות השונות </w:t>
      </w:r>
      <w:r w:rsidR="00081D7B">
        <w:rPr>
          <w:rtl/>
          <w:lang w:bidi="he-IL"/>
        </w:rPr>
        <w:t>–</w:t>
      </w:r>
      <w:r w:rsidR="00081D7B">
        <w:rPr>
          <w:rFonts w:hint="cs"/>
          <w:rtl/>
          <w:lang w:bidi="he-IL"/>
        </w:rPr>
        <w:t xml:space="preserve"> </w:t>
      </w:r>
      <w:r w:rsidR="004D1C2F">
        <w:rPr>
          <w:rFonts w:hint="cs"/>
          <w:rtl/>
          <w:lang w:bidi="he-IL"/>
        </w:rPr>
        <w:t>ב</w:t>
      </w:r>
      <w:r w:rsidR="00081D7B">
        <w:rPr>
          <w:rFonts w:hint="cs"/>
          <w:rtl/>
          <w:lang w:bidi="he-IL"/>
        </w:rPr>
        <w:t xml:space="preserve">כל </w:t>
      </w:r>
      <w:r w:rsidR="004D1C2F">
        <w:rPr>
          <w:rFonts w:hint="cs"/>
          <w:rtl/>
          <w:lang w:bidi="he-IL"/>
        </w:rPr>
        <w:t xml:space="preserve">מקרה של </w:t>
      </w:r>
      <w:r w:rsidR="00081D7B">
        <w:rPr>
          <w:rFonts w:hint="cs"/>
          <w:rtl/>
          <w:lang w:bidi="he-IL"/>
        </w:rPr>
        <w:t xml:space="preserve">עדכון </w:t>
      </w:r>
      <w:r w:rsidR="004D1C2F">
        <w:rPr>
          <w:rFonts w:hint="cs"/>
          <w:rtl/>
          <w:lang w:bidi="he-IL"/>
        </w:rPr>
        <w:t>ה</w:t>
      </w:r>
      <w:r w:rsidR="00081D7B">
        <w:rPr>
          <w:rFonts w:hint="cs"/>
          <w:rtl/>
          <w:lang w:bidi="he-IL"/>
        </w:rPr>
        <w:t xml:space="preserve">פיצוי דרך מנגנון ההנחות, </w:t>
      </w:r>
      <w:r w:rsidR="004D1C2F">
        <w:rPr>
          <w:rFonts w:hint="cs"/>
          <w:rtl/>
          <w:lang w:bidi="he-IL"/>
        </w:rPr>
        <w:t>ה</w:t>
      </w:r>
      <w:r w:rsidR="00081D7B">
        <w:rPr>
          <w:rFonts w:hint="cs"/>
          <w:rtl/>
          <w:lang w:bidi="he-IL"/>
        </w:rPr>
        <w:t>פיצוי יבוא לידי ביטוי בשינוי אחוזי ההנחה</w:t>
      </w:r>
      <w:r w:rsidR="004D1C2F">
        <w:rPr>
          <w:rFonts w:hint="cs"/>
          <w:rtl/>
          <w:lang w:bidi="he-IL"/>
        </w:rPr>
        <w:t xml:space="preserve"> ו</w:t>
      </w:r>
      <w:r w:rsidR="00081D7B">
        <w:rPr>
          <w:rFonts w:hint="cs"/>
          <w:rtl/>
          <w:lang w:bidi="he-IL"/>
        </w:rPr>
        <w:t>יהיה שונה</w:t>
      </w:r>
      <w:r w:rsidR="00081D7B">
        <w:rPr>
          <w:rStyle w:val="FootnoteReference"/>
          <w:rtl/>
          <w:lang w:bidi="he-IL"/>
        </w:rPr>
        <w:footnoteReference w:id="5"/>
      </w:r>
      <w:r w:rsidR="00081D7B">
        <w:rPr>
          <w:rFonts w:hint="cs"/>
          <w:rtl/>
          <w:lang w:bidi="he-IL"/>
        </w:rPr>
        <w:t xml:space="preserve"> ברשויות ש</w:t>
      </w:r>
      <w:r w:rsidR="004D1C2F">
        <w:rPr>
          <w:rFonts w:hint="cs"/>
          <w:rtl/>
          <w:lang w:bidi="he-IL"/>
        </w:rPr>
        <w:t>בהן הבדלי ה</w:t>
      </w:r>
      <w:r w:rsidR="00081D7B">
        <w:rPr>
          <w:rFonts w:hint="cs"/>
          <w:rtl/>
          <w:lang w:bidi="he-IL"/>
        </w:rPr>
        <w:t>תעריפי</w:t>
      </w:r>
      <w:r w:rsidR="004D1C2F">
        <w:rPr>
          <w:rFonts w:hint="cs"/>
          <w:rtl/>
          <w:lang w:bidi="he-IL"/>
        </w:rPr>
        <w:t>ם</w:t>
      </w:r>
      <w:r w:rsidR="00081D7B">
        <w:rPr>
          <w:rFonts w:hint="cs"/>
          <w:rtl/>
          <w:lang w:bidi="he-IL"/>
        </w:rPr>
        <w:t xml:space="preserve"> </w:t>
      </w:r>
      <w:r w:rsidR="004D1C2F">
        <w:rPr>
          <w:rFonts w:hint="cs"/>
          <w:rtl/>
          <w:lang w:bidi="he-IL"/>
        </w:rPr>
        <w:t xml:space="preserve">בין </w:t>
      </w:r>
      <w:r w:rsidR="00081D7B">
        <w:rPr>
          <w:rFonts w:hint="cs"/>
          <w:rtl/>
          <w:lang w:bidi="he-IL"/>
        </w:rPr>
        <w:t xml:space="preserve">האזורים נמוכים </w:t>
      </w:r>
      <w:r w:rsidR="004D1C2F">
        <w:rPr>
          <w:rFonts w:hint="cs"/>
          <w:rtl/>
          <w:lang w:bidi="he-IL"/>
        </w:rPr>
        <w:t xml:space="preserve">לעומת </w:t>
      </w:r>
      <w:r w:rsidR="00081D7B">
        <w:rPr>
          <w:rFonts w:hint="cs"/>
          <w:rtl/>
          <w:lang w:bidi="he-IL"/>
        </w:rPr>
        <w:t xml:space="preserve">רשויות בהן </w:t>
      </w:r>
      <w:r w:rsidR="004D1C2F">
        <w:rPr>
          <w:rFonts w:hint="cs"/>
          <w:rtl/>
          <w:lang w:bidi="he-IL"/>
        </w:rPr>
        <w:t>הבדלי ה</w:t>
      </w:r>
      <w:r w:rsidR="00081D7B">
        <w:rPr>
          <w:rFonts w:hint="cs"/>
          <w:rtl/>
          <w:lang w:bidi="he-IL"/>
        </w:rPr>
        <w:t>תעריפי</w:t>
      </w:r>
      <w:r w:rsidR="004D1C2F">
        <w:rPr>
          <w:rFonts w:hint="cs"/>
          <w:rtl/>
          <w:lang w:bidi="he-IL"/>
        </w:rPr>
        <w:t xml:space="preserve">ם בין </w:t>
      </w:r>
      <w:r w:rsidR="00081D7B">
        <w:rPr>
          <w:rFonts w:hint="cs"/>
          <w:rtl/>
          <w:lang w:bidi="he-IL"/>
        </w:rPr>
        <w:t>האזורים גבוהים. שוני זה יקשה על קביעת קריטריון הנחות אחיד שיפצה את האוכלוסיה על העליה בתעריף</w:t>
      </w:r>
    </w:p>
    <w:p w:rsidR="00081D7B" w:rsidRDefault="00081D7B" w:rsidP="00081D7B">
      <w:pPr>
        <w:pStyle w:val="Heading2"/>
        <w:bidi/>
        <w:rPr>
          <w:rtl/>
          <w:lang w:bidi="he-IL"/>
        </w:rPr>
      </w:pPr>
      <w:r>
        <w:rPr>
          <w:rFonts w:hint="cs"/>
          <w:rtl/>
          <w:lang w:bidi="he-IL"/>
        </w:rPr>
        <w:t>רף ההכנסה המינימלי המזכה בהנחה או "קו העוני"</w:t>
      </w:r>
    </w:p>
    <w:p w:rsidR="00081D7B" w:rsidRDefault="00081D7B" w:rsidP="004A7979">
      <w:pPr>
        <w:bidi/>
        <w:rPr>
          <w:rtl/>
          <w:lang w:bidi="he-IL"/>
        </w:rPr>
      </w:pPr>
      <w:r>
        <w:rPr>
          <w:rFonts w:hint="cs"/>
          <w:rtl/>
          <w:lang w:bidi="he-IL"/>
        </w:rPr>
        <w:t>הסוגיה החשובה ביותר וגם המורכבת ביותר היא השאלה "האם רף ההכנסה המינימלי המזכה בהנחה משקף נכונה את קו העוני?". ועדת קהת הוקמה על מנת לבצע עדכון של הערכים במבחן ההכנסה בגלל סוגיה זו בדיוק</w:t>
      </w:r>
      <w:r w:rsidR="00BE0401">
        <w:rPr>
          <w:rFonts w:hint="cs"/>
          <w:rtl/>
          <w:lang w:bidi="he-IL"/>
        </w:rPr>
        <w:t>,</w:t>
      </w:r>
      <w:r>
        <w:rPr>
          <w:rFonts w:hint="cs"/>
          <w:rtl/>
          <w:lang w:bidi="he-IL"/>
        </w:rPr>
        <w:t xml:space="preserve"> היא אף הגדירה </w:t>
      </w:r>
      <w:r w:rsidR="00BE0401">
        <w:rPr>
          <w:rFonts w:hint="cs"/>
          <w:rtl/>
          <w:lang w:bidi="he-IL"/>
        </w:rPr>
        <w:t xml:space="preserve">מחדש </w:t>
      </w:r>
      <w:r>
        <w:rPr>
          <w:rFonts w:hint="cs"/>
          <w:rtl/>
          <w:lang w:bidi="he-IL"/>
        </w:rPr>
        <w:t xml:space="preserve">את "קו העוני של הנחות הארנונה" במסגרת העדכון שהיא הכניסה לחוק. אם זאת, </w:t>
      </w:r>
      <w:r w:rsidR="00D114FB">
        <w:rPr>
          <w:rFonts w:hint="cs"/>
          <w:rtl/>
          <w:lang w:bidi="he-IL"/>
        </w:rPr>
        <w:t>בעת הגשת מסקנות הועדה לא היה בארץ קו עוני כמותי רשמי</w:t>
      </w:r>
      <w:r w:rsidR="0044667A">
        <w:rPr>
          <w:rStyle w:val="FootnoteReference"/>
          <w:rtl/>
          <w:lang w:bidi="he-IL"/>
        </w:rPr>
        <w:footnoteReference w:id="6"/>
      </w:r>
      <w:r w:rsidR="00D114FB">
        <w:rPr>
          <w:rFonts w:hint="cs"/>
          <w:rtl/>
          <w:lang w:bidi="he-IL"/>
        </w:rPr>
        <w:t xml:space="preserve"> ולכן </w:t>
      </w:r>
      <w:r>
        <w:rPr>
          <w:rFonts w:hint="cs"/>
          <w:rtl/>
          <w:lang w:bidi="he-IL"/>
        </w:rPr>
        <w:t>חשוב לבחון שוב את קו עוני זה לאור ההשלכות של עליית התעריפים שת</w:t>
      </w:r>
      <w:r w:rsidR="00F9459C">
        <w:rPr>
          <w:rFonts w:hint="cs"/>
          <w:rtl/>
          <w:lang w:bidi="he-IL"/>
        </w:rPr>
        <w:t>י</w:t>
      </w:r>
      <w:r>
        <w:rPr>
          <w:rFonts w:hint="cs"/>
          <w:rtl/>
          <w:lang w:bidi="he-IL"/>
        </w:rPr>
        <w:t>גרם בגלל אזור הארנונה האחיד, במיוח</w:t>
      </w:r>
      <w:r w:rsidR="00F9459C">
        <w:rPr>
          <w:rFonts w:hint="cs"/>
          <w:rtl/>
          <w:lang w:bidi="he-IL"/>
        </w:rPr>
        <w:t>ד עבור האוכלוסיות ש</w:t>
      </w:r>
      <w:r w:rsidR="004A7979">
        <w:rPr>
          <w:rFonts w:hint="cs"/>
          <w:rtl/>
          <w:lang w:bidi="he-IL"/>
        </w:rPr>
        <w:t xml:space="preserve">הכנסתה מעט </w:t>
      </w:r>
      <w:r w:rsidR="00F9459C">
        <w:rPr>
          <w:rFonts w:hint="cs"/>
          <w:rtl/>
          <w:lang w:bidi="he-IL"/>
        </w:rPr>
        <w:t>מעל מינימום ההכנסה שמזכה בהנחות.</w:t>
      </w:r>
    </w:p>
    <w:p w:rsidR="004D1C2F" w:rsidRDefault="004D1C2F">
      <w:pPr>
        <w:rPr>
          <w:rFonts w:asciiTheme="majorHAnsi" w:eastAsiaTheme="majorEastAsia" w:hAnsiTheme="majorHAnsi" w:cstheme="majorBidi"/>
          <w:b/>
          <w:bCs/>
          <w:color w:val="365F91" w:themeColor="accent1" w:themeShade="BF"/>
          <w:sz w:val="28"/>
          <w:szCs w:val="28"/>
          <w:rtl/>
          <w:lang w:bidi="he-IL"/>
        </w:rPr>
      </w:pPr>
      <w:r>
        <w:rPr>
          <w:rtl/>
          <w:lang w:bidi="he-IL"/>
        </w:rPr>
        <w:br w:type="page"/>
      </w:r>
    </w:p>
    <w:p w:rsidR="004977BB" w:rsidRDefault="004977BB" w:rsidP="004977BB">
      <w:pPr>
        <w:pStyle w:val="Heading1"/>
        <w:bidi/>
        <w:rPr>
          <w:rtl/>
          <w:lang w:bidi="he-IL"/>
        </w:rPr>
      </w:pPr>
      <w:r>
        <w:rPr>
          <w:rFonts w:hint="cs"/>
          <w:rtl/>
          <w:lang w:bidi="he-IL"/>
        </w:rPr>
        <w:lastRenderedPageBreak/>
        <w:t>ניתוח הנתונים</w:t>
      </w:r>
    </w:p>
    <w:p w:rsidR="001912D2" w:rsidRDefault="001912D2" w:rsidP="004977BB">
      <w:pPr>
        <w:bidi/>
        <w:rPr>
          <w:rtl/>
          <w:lang w:bidi="he-IL"/>
        </w:rPr>
      </w:pPr>
      <w:r>
        <w:rPr>
          <w:rFonts w:hint="cs"/>
          <w:rtl/>
          <w:lang w:bidi="he-IL"/>
        </w:rPr>
        <w:t xml:space="preserve">ראשית, כאשר מכניסים טבלת ההנחות לגרף, מתקבלת התמונה הבאה (כל מי שהכנסתו נמוכה מהערכים שמתווה קו </w:t>
      </w:r>
      <w:r w:rsidR="002D1112">
        <w:rPr>
          <w:rFonts w:hint="cs"/>
          <w:rtl/>
          <w:lang w:bidi="he-IL"/>
        </w:rPr>
        <w:t xml:space="preserve">"שווה הנחה" </w:t>
      </w:r>
      <w:r>
        <w:rPr>
          <w:rFonts w:hint="cs"/>
          <w:rtl/>
          <w:lang w:bidi="he-IL"/>
        </w:rPr>
        <w:t>זכאי להנחה):</w:t>
      </w:r>
    </w:p>
    <w:p w:rsidR="001912D2" w:rsidRDefault="001912D2" w:rsidP="00913237">
      <w:pPr>
        <w:bidi/>
        <w:jc w:val="center"/>
        <w:rPr>
          <w:rFonts w:hint="cs"/>
          <w:rtl/>
          <w:lang w:bidi="he-IL"/>
        </w:rPr>
      </w:pPr>
      <w:r>
        <w:rPr>
          <w:rFonts w:hint="cs"/>
          <w:noProof/>
          <w:lang w:bidi="he-IL"/>
        </w:rPr>
        <w:drawing>
          <wp:inline distT="0" distB="0" distL="0" distR="0">
            <wp:extent cx="5873982" cy="431074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891918" cy="4323906"/>
                    </a:xfrm>
                    <a:prstGeom prst="rect">
                      <a:avLst/>
                    </a:prstGeom>
                    <a:noFill/>
                    <a:ln w="9525">
                      <a:noFill/>
                      <a:miter lim="800000"/>
                      <a:headEnd/>
                      <a:tailEnd/>
                    </a:ln>
                  </pic:spPr>
                </pic:pic>
              </a:graphicData>
            </a:graphic>
          </wp:inline>
        </w:drawing>
      </w:r>
    </w:p>
    <w:p w:rsidR="00913237" w:rsidRPr="00913237" w:rsidRDefault="00913237" w:rsidP="00913237">
      <w:pPr>
        <w:pStyle w:val="Caption"/>
        <w:bidi/>
        <w:jc w:val="center"/>
        <w:rPr>
          <w:color w:val="auto"/>
          <w:sz w:val="20"/>
          <w:szCs w:val="20"/>
          <w:u w:val="single"/>
          <w:rtl/>
          <w:lang w:bidi="he-IL"/>
        </w:rPr>
      </w:pPr>
      <w:r w:rsidRPr="00913237">
        <w:rPr>
          <w:rFonts w:hint="cs"/>
          <w:color w:val="auto"/>
          <w:sz w:val="20"/>
          <w:szCs w:val="20"/>
          <w:u w:val="single"/>
          <w:rtl/>
          <w:lang w:bidi="he-IL"/>
        </w:rPr>
        <w:t>איור</w:t>
      </w:r>
      <w:r w:rsidRPr="00913237">
        <w:rPr>
          <w:color w:val="auto"/>
          <w:sz w:val="20"/>
          <w:szCs w:val="20"/>
          <w:u w:val="single"/>
          <w:rtl/>
          <w:lang w:bidi="he-IL"/>
        </w:rPr>
        <w:t xml:space="preserve"> </w:t>
      </w:r>
      <w:r w:rsidRPr="00913237">
        <w:rPr>
          <w:color w:val="auto"/>
          <w:sz w:val="20"/>
          <w:szCs w:val="20"/>
          <w:u w:val="single"/>
          <w:rtl/>
          <w:lang w:bidi="he-IL"/>
        </w:rPr>
        <w:fldChar w:fldCharType="begin"/>
      </w:r>
      <w:r w:rsidRPr="00913237">
        <w:rPr>
          <w:color w:val="auto"/>
          <w:sz w:val="20"/>
          <w:szCs w:val="20"/>
          <w:u w:val="single"/>
          <w:rtl/>
          <w:lang w:bidi="he-IL"/>
        </w:rPr>
        <w:instrText xml:space="preserve"> </w:instrText>
      </w:r>
      <w:r w:rsidRPr="00913237">
        <w:rPr>
          <w:color w:val="auto"/>
          <w:sz w:val="20"/>
          <w:szCs w:val="20"/>
          <w:u w:val="single"/>
          <w:lang w:bidi="he-IL"/>
        </w:rPr>
        <w:instrText>SEQ</w:instrText>
      </w:r>
      <w:r w:rsidRPr="00913237">
        <w:rPr>
          <w:color w:val="auto"/>
          <w:sz w:val="20"/>
          <w:szCs w:val="20"/>
          <w:u w:val="single"/>
          <w:rtl/>
          <w:lang w:bidi="he-IL"/>
        </w:rPr>
        <w:instrText xml:space="preserve"> איור \* </w:instrText>
      </w:r>
      <w:r w:rsidRPr="00913237">
        <w:rPr>
          <w:color w:val="auto"/>
          <w:sz w:val="20"/>
          <w:szCs w:val="20"/>
          <w:u w:val="single"/>
          <w:lang w:bidi="he-IL"/>
        </w:rPr>
        <w:instrText>ARABIC</w:instrText>
      </w:r>
      <w:r w:rsidRPr="00913237">
        <w:rPr>
          <w:color w:val="auto"/>
          <w:sz w:val="20"/>
          <w:szCs w:val="20"/>
          <w:u w:val="single"/>
          <w:rtl/>
          <w:lang w:bidi="he-IL"/>
        </w:rPr>
        <w:instrText xml:space="preserve"> </w:instrText>
      </w:r>
      <w:r w:rsidRPr="00913237">
        <w:rPr>
          <w:color w:val="auto"/>
          <w:sz w:val="20"/>
          <w:szCs w:val="20"/>
          <w:u w:val="single"/>
          <w:rtl/>
          <w:lang w:bidi="he-IL"/>
        </w:rPr>
        <w:fldChar w:fldCharType="separate"/>
      </w:r>
      <w:r>
        <w:rPr>
          <w:noProof/>
          <w:color w:val="auto"/>
          <w:sz w:val="20"/>
          <w:szCs w:val="20"/>
          <w:u w:val="single"/>
          <w:rtl/>
          <w:lang w:bidi="he-IL"/>
        </w:rPr>
        <w:t>1</w:t>
      </w:r>
      <w:r w:rsidRPr="00913237">
        <w:rPr>
          <w:color w:val="auto"/>
          <w:sz w:val="20"/>
          <w:szCs w:val="20"/>
          <w:u w:val="single"/>
          <w:rtl/>
          <w:lang w:bidi="he-IL"/>
        </w:rPr>
        <w:fldChar w:fldCharType="end"/>
      </w:r>
      <w:r w:rsidRPr="00913237">
        <w:rPr>
          <w:noProof/>
          <w:color w:val="auto"/>
          <w:sz w:val="20"/>
          <w:szCs w:val="20"/>
          <w:u w:val="single"/>
          <w:rtl/>
          <w:lang w:bidi="he-IL"/>
        </w:rPr>
        <w:t xml:space="preserve"> </w:t>
      </w:r>
      <w:r w:rsidRPr="00913237">
        <w:rPr>
          <w:rFonts w:hint="cs"/>
          <w:noProof/>
          <w:color w:val="auto"/>
          <w:sz w:val="20"/>
          <w:szCs w:val="20"/>
          <w:u w:val="single"/>
          <w:rtl/>
          <w:lang w:bidi="he-IL"/>
        </w:rPr>
        <w:t>- הכנסה המזכה בהנחות בארנונה והיקף ההנחה</w:t>
      </w:r>
    </w:p>
    <w:p w:rsidR="001912D2" w:rsidRDefault="001912D2" w:rsidP="001912D2">
      <w:pPr>
        <w:bidi/>
        <w:rPr>
          <w:rtl/>
          <w:lang w:bidi="he-IL"/>
        </w:rPr>
      </w:pPr>
      <w:r>
        <w:rPr>
          <w:rFonts w:hint="cs"/>
          <w:rtl/>
          <w:lang w:bidi="he-IL"/>
        </w:rPr>
        <w:t>אם זאת, על מנת לבחון את המבחן ההכנסה של הזכאות בהנחה במונחים של קו העוני, יש לתרגם את הנתונים למונחים של הכנסה לנפש. לאחר שיערוך של "נוסחאות ההנחה", מתקבל הגרף הבא:</w:t>
      </w:r>
    </w:p>
    <w:p w:rsidR="001912D2" w:rsidRDefault="00A24D72" w:rsidP="00913237">
      <w:pPr>
        <w:pStyle w:val="Caption"/>
        <w:bidi/>
        <w:jc w:val="center"/>
        <w:rPr>
          <w:rtl/>
          <w:lang w:bidi="he-IL"/>
        </w:rPr>
      </w:pPr>
      <w:r>
        <w:rPr>
          <w:noProof/>
          <w:lang w:bidi="he-IL"/>
        </w:rPr>
        <w:lastRenderedPageBreak/>
        <w:drawing>
          <wp:inline distT="0" distB="0" distL="0" distR="0">
            <wp:extent cx="5813213" cy="420386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818722" cy="4207849"/>
                    </a:xfrm>
                    <a:prstGeom prst="rect">
                      <a:avLst/>
                    </a:prstGeom>
                    <a:noFill/>
                    <a:ln w="9525">
                      <a:noFill/>
                      <a:miter lim="800000"/>
                      <a:headEnd/>
                      <a:tailEnd/>
                    </a:ln>
                  </pic:spPr>
                </pic:pic>
              </a:graphicData>
            </a:graphic>
          </wp:inline>
        </w:drawing>
      </w:r>
      <w:r w:rsidR="00913237">
        <w:rPr>
          <w:rFonts w:hint="cs"/>
          <w:rtl/>
          <w:lang w:bidi="he-IL"/>
        </w:rPr>
        <w:br/>
      </w:r>
      <w:r w:rsidR="00913237" w:rsidRPr="00913237">
        <w:rPr>
          <w:rFonts w:hint="cs"/>
          <w:color w:val="auto"/>
          <w:sz w:val="20"/>
          <w:szCs w:val="20"/>
          <w:u w:val="single"/>
          <w:rtl/>
          <w:lang w:bidi="he-IL"/>
        </w:rPr>
        <w:t>איור</w:t>
      </w:r>
      <w:r w:rsidR="00913237" w:rsidRPr="00913237">
        <w:rPr>
          <w:color w:val="auto"/>
          <w:sz w:val="20"/>
          <w:szCs w:val="20"/>
          <w:u w:val="single"/>
          <w:rtl/>
          <w:lang w:bidi="he-IL"/>
        </w:rPr>
        <w:t xml:space="preserve"> </w:t>
      </w:r>
      <w:r w:rsidR="00913237" w:rsidRPr="00913237">
        <w:rPr>
          <w:color w:val="auto"/>
          <w:sz w:val="20"/>
          <w:szCs w:val="20"/>
          <w:u w:val="single"/>
          <w:rtl/>
          <w:lang w:bidi="he-IL"/>
        </w:rPr>
        <w:fldChar w:fldCharType="begin"/>
      </w:r>
      <w:r w:rsidR="00913237" w:rsidRPr="00913237">
        <w:rPr>
          <w:color w:val="auto"/>
          <w:sz w:val="20"/>
          <w:szCs w:val="20"/>
          <w:u w:val="single"/>
          <w:rtl/>
          <w:lang w:bidi="he-IL"/>
        </w:rPr>
        <w:instrText xml:space="preserve"> </w:instrText>
      </w:r>
      <w:r w:rsidR="00913237" w:rsidRPr="00913237">
        <w:rPr>
          <w:color w:val="auto"/>
          <w:sz w:val="20"/>
          <w:szCs w:val="20"/>
          <w:u w:val="single"/>
          <w:lang w:bidi="he-IL"/>
        </w:rPr>
        <w:instrText>SEQ</w:instrText>
      </w:r>
      <w:r w:rsidR="00913237" w:rsidRPr="00913237">
        <w:rPr>
          <w:color w:val="auto"/>
          <w:sz w:val="20"/>
          <w:szCs w:val="20"/>
          <w:u w:val="single"/>
          <w:rtl/>
          <w:lang w:bidi="he-IL"/>
        </w:rPr>
        <w:instrText xml:space="preserve"> איור \* </w:instrText>
      </w:r>
      <w:r w:rsidR="00913237" w:rsidRPr="00913237">
        <w:rPr>
          <w:color w:val="auto"/>
          <w:sz w:val="20"/>
          <w:szCs w:val="20"/>
          <w:u w:val="single"/>
          <w:lang w:bidi="he-IL"/>
        </w:rPr>
        <w:instrText>ARABIC</w:instrText>
      </w:r>
      <w:r w:rsidR="00913237" w:rsidRPr="00913237">
        <w:rPr>
          <w:color w:val="auto"/>
          <w:sz w:val="20"/>
          <w:szCs w:val="20"/>
          <w:u w:val="single"/>
          <w:rtl/>
          <w:lang w:bidi="he-IL"/>
        </w:rPr>
        <w:instrText xml:space="preserve"> </w:instrText>
      </w:r>
      <w:r w:rsidR="00913237" w:rsidRPr="00913237">
        <w:rPr>
          <w:color w:val="auto"/>
          <w:sz w:val="20"/>
          <w:szCs w:val="20"/>
          <w:u w:val="single"/>
          <w:rtl/>
          <w:lang w:bidi="he-IL"/>
        </w:rPr>
        <w:fldChar w:fldCharType="separate"/>
      </w:r>
      <w:r w:rsidR="00913237">
        <w:rPr>
          <w:noProof/>
          <w:color w:val="auto"/>
          <w:sz w:val="20"/>
          <w:szCs w:val="20"/>
          <w:u w:val="single"/>
          <w:rtl/>
          <w:lang w:bidi="he-IL"/>
        </w:rPr>
        <w:t>2</w:t>
      </w:r>
      <w:r w:rsidR="00913237" w:rsidRPr="00913237">
        <w:rPr>
          <w:color w:val="auto"/>
          <w:sz w:val="20"/>
          <w:szCs w:val="20"/>
          <w:u w:val="single"/>
          <w:rtl/>
          <w:lang w:bidi="he-IL"/>
        </w:rPr>
        <w:fldChar w:fldCharType="end"/>
      </w:r>
      <w:r w:rsidR="00913237" w:rsidRPr="00913237">
        <w:rPr>
          <w:noProof/>
          <w:color w:val="auto"/>
          <w:sz w:val="20"/>
          <w:szCs w:val="20"/>
          <w:u w:val="single"/>
          <w:rtl/>
          <w:lang w:bidi="he-IL"/>
        </w:rPr>
        <w:t xml:space="preserve"> </w:t>
      </w:r>
      <w:r w:rsidR="00913237" w:rsidRPr="00913237">
        <w:rPr>
          <w:rFonts w:hint="cs"/>
          <w:noProof/>
          <w:color w:val="auto"/>
          <w:sz w:val="20"/>
          <w:szCs w:val="20"/>
          <w:u w:val="single"/>
          <w:rtl/>
          <w:lang w:bidi="he-IL"/>
        </w:rPr>
        <w:t xml:space="preserve"> - הכנסה לנפש המזכה בהנחה בארנונה</w:t>
      </w:r>
    </w:p>
    <w:p w:rsidR="00617149" w:rsidRDefault="00617149" w:rsidP="002D1112">
      <w:pPr>
        <w:bidi/>
        <w:rPr>
          <w:rtl/>
          <w:lang w:bidi="he-IL"/>
        </w:rPr>
      </w:pPr>
      <w:r>
        <w:rPr>
          <w:rFonts w:hint="cs"/>
          <w:rtl/>
          <w:lang w:bidi="he-IL"/>
        </w:rPr>
        <w:t xml:space="preserve">הנתון הבולט ביותר מהגרף הוא שבבית בו חיים 4 נפשות או יותר, ההכנסה לנפש שמגדירה את קו העוני </w:t>
      </w:r>
      <w:r w:rsidR="002D1112">
        <w:rPr>
          <w:rFonts w:hint="cs"/>
          <w:rtl/>
          <w:lang w:bidi="he-IL"/>
        </w:rPr>
        <w:t xml:space="preserve">כמעט </w:t>
      </w:r>
      <w:r>
        <w:rPr>
          <w:rFonts w:hint="cs"/>
          <w:rtl/>
          <w:lang w:bidi="he-IL"/>
        </w:rPr>
        <w:t>זהה</w:t>
      </w:r>
      <w:r w:rsidR="002D1112">
        <w:rPr>
          <w:rFonts w:hint="cs"/>
          <w:rtl/>
          <w:lang w:bidi="he-IL"/>
        </w:rPr>
        <w:t xml:space="preserve"> - </w:t>
      </w:r>
      <w:r>
        <w:rPr>
          <w:rFonts w:hint="cs"/>
          <w:rtl/>
          <w:lang w:bidi="he-IL"/>
        </w:rPr>
        <w:t>משפחות נכנסות למעגל מקבלי ההנחות כאשר הכנסת</w:t>
      </w:r>
      <w:r w:rsidR="002D1112">
        <w:rPr>
          <w:rFonts w:hint="cs"/>
          <w:rtl/>
          <w:lang w:bidi="he-IL"/>
        </w:rPr>
        <w:t>ן</w:t>
      </w:r>
      <w:r>
        <w:rPr>
          <w:rFonts w:hint="cs"/>
          <w:rtl/>
          <w:lang w:bidi="he-IL"/>
        </w:rPr>
        <w:t xml:space="preserve"> לנפש יורדת מ-1,700.</w:t>
      </w:r>
    </w:p>
    <w:p w:rsidR="004D1C2F" w:rsidRDefault="00F03232" w:rsidP="00913237">
      <w:pPr>
        <w:bidi/>
        <w:rPr>
          <w:rtl/>
          <w:lang w:bidi="he-IL"/>
        </w:rPr>
      </w:pPr>
      <w:r>
        <w:rPr>
          <w:rFonts w:hint="cs"/>
          <w:rtl/>
          <w:lang w:bidi="he-IL"/>
        </w:rPr>
        <w:t xml:space="preserve">אם כי בפועל לא קיים מבחן הכנסה שמזכה בהנחה של 20%, הנוסחאות מאפשרות לחשב את ההכנסה לנפש שהייתה מזכה בהנחה בהיקף זה, כמו גם לחשב את ההכנסה לנפש שמעליה </w:t>
      </w:r>
      <w:r w:rsidR="002D1112">
        <w:rPr>
          <w:rFonts w:hint="cs"/>
          <w:rtl/>
          <w:lang w:bidi="he-IL"/>
        </w:rPr>
        <w:t xml:space="preserve">משפחה </w:t>
      </w:r>
      <w:r>
        <w:rPr>
          <w:rFonts w:hint="cs"/>
          <w:rtl/>
          <w:lang w:bidi="he-IL"/>
        </w:rPr>
        <w:t>אינו נחשב</w:t>
      </w:r>
      <w:r w:rsidR="002D1112">
        <w:rPr>
          <w:rFonts w:hint="cs"/>
          <w:rtl/>
          <w:lang w:bidi="he-IL"/>
        </w:rPr>
        <w:t>ת</w:t>
      </w:r>
      <w:r>
        <w:rPr>
          <w:rFonts w:hint="cs"/>
          <w:rtl/>
          <w:lang w:bidi="he-IL"/>
        </w:rPr>
        <w:t xml:space="preserve"> "</w:t>
      </w:r>
      <w:r w:rsidR="002D1112">
        <w:rPr>
          <w:rFonts w:hint="cs"/>
          <w:rtl/>
          <w:lang w:bidi="he-IL"/>
        </w:rPr>
        <w:t>חלשה כלכלית</w:t>
      </w:r>
      <w:r>
        <w:rPr>
          <w:rFonts w:hint="cs"/>
          <w:rtl/>
          <w:lang w:bidi="he-IL"/>
        </w:rPr>
        <w:t xml:space="preserve">" לפי כללי ההנחות של הארנונה (0% הנחה). אל מול קווי העוני </w:t>
      </w:r>
      <w:r w:rsidR="00913237">
        <w:rPr>
          <w:rFonts w:hint="cs"/>
          <w:rtl/>
          <w:lang w:bidi="he-IL"/>
        </w:rPr>
        <w:t>שבאיור 2</w:t>
      </w:r>
      <w:r>
        <w:rPr>
          <w:rFonts w:hint="cs"/>
          <w:rtl/>
          <w:lang w:bidi="he-IL"/>
        </w:rPr>
        <w:t xml:space="preserve">, </w:t>
      </w:r>
      <w:r w:rsidR="002D1112">
        <w:rPr>
          <w:rFonts w:hint="cs"/>
          <w:rtl/>
          <w:lang w:bidi="he-IL"/>
        </w:rPr>
        <w:t xml:space="preserve">הושוותה </w:t>
      </w:r>
      <w:r>
        <w:rPr>
          <w:rFonts w:hint="cs"/>
          <w:rtl/>
          <w:lang w:bidi="he-IL"/>
        </w:rPr>
        <w:t>ההכנסה החציונית והגבוהה של ש</w:t>
      </w:r>
      <w:r w:rsidR="00A24D72">
        <w:rPr>
          <w:rFonts w:hint="cs"/>
          <w:rtl/>
          <w:lang w:bidi="he-IL"/>
        </w:rPr>
        <w:t>לושת</w:t>
      </w:r>
      <w:r>
        <w:rPr>
          <w:rFonts w:hint="cs"/>
          <w:rtl/>
          <w:lang w:bidi="he-IL"/>
        </w:rPr>
        <w:t xml:space="preserve"> העשירונים התחתונים</w:t>
      </w:r>
      <w:r>
        <w:rPr>
          <w:rStyle w:val="FootnoteReference"/>
          <w:rtl/>
          <w:lang w:bidi="he-IL"/>
        </w:rPr>
        <w:footnoteReference w:id="7"/>
      </w:r>
      <w:r w:rsidR="00A24D72">
        <w:rPr>
          <w:rFonts w:hint="cs"/>
          <w:rtl/>
          <w:lang w:bidi="he-IL"/>
        </w:rPr>
        <w:t xml:space="preserve"> </w:t>
      </w:r>
      <w:r>
        <w:rPr>
          <w:rFonts w:hint="cs"/>
          <w:rtl/>
          <w:lang w:bidi="he-IL"/>
        </w:rPr>
        <w:t xml:space="preserve">, זאת על מנת לקבל ייחוס להכנסה של שכבות האוכלוסיה הנמוכות ביותר. מתקבל כי ההנחות בהיקף 40% ו-80% לנפש 1 מתואמות עם ההכנסה לבית אב של העשירון השני (חציונית וגבוהה). אמנם לא ניתן לחשוב על סיבה ספציפית להתאמה זו, </w:t>
      </w:r>
      <w:r w:rsidR="002D1112">
        <w:rPr>
          <w:rFonts w:hint="cs"/>
          <w:rtl/>
          <w:lang w:bidi="he-IL"/>
        </w:rPr>
        <w:t xml:space="preserve">אך </w:t>
      </w:r>
      <w:r>
        <w:rPr>
          <w:rFonts w:hint="cs"/>
          <w:rtl/>
          <w:lang w:bidi="he-IL"/>
        </w:rPr>
        <w:t>היא בפועל קובעת את נקודת המוצא של העקומים שמגדירים את ק</w:t>
      </w:r>
      <w:r w:rsidR="002D1112">
        <w:rPr>
          <w:rFonts w:hint="cs"/>
          <w:rtl/>
          <w:lang w:bidi="he-IL"/>
        </w:rPr>
        <w:t>ווי העוני שמזכים בהנחות</w:t>
      </w:r>
      <w:r>
        <w:rPr>
          <w:rFonts w:hint="cs"/>
          <w:rtl/>
          <w:lang w:bidi="he-IL"/>
        </w:rPr>
        <w:t>.</w:t>
      </w:r>
    </w:p>
    <w:p w:rsidR="00A2238C" w:rsidRDefault="00617149" w:rsidP="00D64843">
      <w:pPr>
        <w:bidi/>
        <w:rPr>
          <w:rtl/>
          <w:lang w:bidi="he-IL"/>
        </w:rPr>
      </w:pPr>
      <w:r>
        <w:rPr>
          <w:rFonts w:hint="cs"/>
          <w:rtl/>
          <w:lang w:bidi="he-IL"/>
        </w:rPr>
        <w:t>בסופו של דבר "קוי העוני", כפי שמגדיר אותם מבחן ההכנסה לזכאות בהנחות, מבוססים על נוסח</w:t>
      </w:r>
      <w:r w:rsidR="00A2238C">
        <w:rPr>
          <w:rFonts w:hint="cs"/>
          <w:rtl/>
          <w:lang w:bidi="he-IL"/>
        </w:rPr>
        <w:t>ה ויש לבחון אותה אל מול שני היבטים:</w:t>
      </w:r>
    </w:p>
    <w:p w:rsidR="00A2238C" w:rsidRDefault="00A2238C" w:rsidP="002D1112">
      <w:pPr>
        <w:pStyle w:val="ListParagraph"/>
        <w:numPr>
          <w:ilvl w:val="0"/>
          <w:numId w:val="4"/>
        </w:numPr>
        <w:bidi/>
        <w:rPr>
          <w:lang w:bidi="he-IL"/>
        </w:rPr>
      </w:pPr>
      <w:r>
        <w:rPr>
          <w:rFonts w:hint="cs"/>
          <w:rtl/>
          <w:lang w:bidi="he-IL"/>
        </w:rPr>
        <w:t>האם נוסחה זו מייצרת עיוות מול מדד</w:t>
      </w:r>
      <w:r w:rsidR="002D1112">
        <w:rPr>
          <w:rFonts w:hint="cs"/>
          <w:rtl/>
          <w:lang w:bidi="he-IL"/>
        </w:rPr>
        <w:t xml:space="preserve"> ה</w:t>
      </w:r>
      <w:r>
        <w:rPr>
          <w:rFonts w:hint="cs"/>
          <w:rtl/>
          <w:lang w:bidi="he-IL"/>
        </w:rPr>
        <w:t xml:space="preserve">עוני </w:t>
      </w:r>
      <w:r w:rsidR="002D1112">
        <w:rPr>
          <w:rFonts w:hint="cs"/>
          <w:rtl/>
          <w:lang w:bidi="he-IL"/>
        </w:rPr>
        <w:t>ה</w:t>
      </w:r>
      <w:r>
        <w:rPr>
          <w:rFonts w:hint="cs"/>
          <w:rtl/>
          <w:lang w:bidi="he-IL"/>
        </w:rPr>
        <w:t>רשמי?</w:t>
      </w:r>
    </w:p>
    <w:p w:rsidR="004D1C2F" w:rsidRDefault="00A2238C" w:rsidP="00A2238C">
      <w:pPr>
        <w:pStyle w:val="ListParagraph"/>
        <w:numPr>
          <w:ilvl w:val="0"/>
          <w:numId w:val="4"/>
        </w:numPr>
        <w:bidi/>
        <w:rPr>
          <w:rtl/>
          <w:lang w:bidi="he-IL"/>
        </w:rPr>
      </w:pPr>
      <w:r>
        <w:rPr>
          <w:rFonts w:hint="cs"/>
          <w:rtl/>
          <w:lang w:bidi="he-IL"/>
        </w:rPr>
        <w:t xml:space="preserve">האם קיים מיתאם מול מדד של הוצאה מינימלית </w:t>
      </w:r>
      <w:r w:rsidR="00617149">
        <w:rPr>
          <w:rFonts w:hint="cs"/>
          <w:rtl/>
          <w:lang w:bidi="he-IL"/>
        </w:rPr>
        <w:t>לנפש בכדי</w:t>
      </w:r>
      <w:r>
        <w:rPr>
          <w:rFonts w:hint="cs"/>
          <w:rtl/>
          <w:lang w:bidi="he-IL"/>
        </w:rPr>
        <w:t xml:space="preserve"> להתקיים בכבוד?</w:t>
      </w:r>
    </w:p>
    <w:p w:rsidR="00D64843" w:rsidRDefault="00D64843" w:rsidP="00D64843">
      <w:pPr>
        <w:pStyle w:val="Heading2"/>
        <w:bidi/>
        <w:rPr>
          <w:rtl/>
          <w:lang w:bidi="he-IL"/>
        </w:rPr>
      </w:pPr>
      <w:r>
        <w:rPr>
          <w:rFonts w:hint="cs"/>
          <w:rtl/>
          <w:lang w:bidi="he-IL"/>
        </w:rPr>
        <w:lastRenderedPageBreak/>
        <w:t>קו העוני לפי הביטוח הלאומי</w:t>
      </w:r>
    </w:p>
    <w:p w:rsidR="00D64843" w:rsidRDefault="00D64843" w:rsidP="002D1112">
      <w:pPr>
        <w:bidi/>
        <w:rPr>
          <w:rtl/>
          <w:lang w:bidi="he-IL"/>
        </w:rPr>
      </w:pPr>
      <w:r>
        <w:rPr>
          <w:rFonts w:hint="cs"/>
          <w:rtl/>
          <w:lang w:bidi="he-IL"/>
        </w:rPr>
        <w:t xml:space="preserve">הגוף הרשמי המטפל באוכלוסיות החלשות בישראל הוא הביטוח הלאומי. על מנת להבין מהו קו העוני לפי הביטוח הלאומי </w:t>
      </w:r>
      <w:r w:rsidR="002D1112">
        <w:rPr>
          <w:rFonts w:hint="cs"/>
          <w:rtl/>
          <w:lang w:bidi="he-IL"/>
        </w:rPr>
        <w:t>נלקחו נתונים מ</w:t>
      </w:r>
      <w:r>
        <w:rPr>
          <w:rFonts w:hint="cs"/>
          <w:rtl/>
          <w:lang w:bidi="he-IL"/>
        </w:rPr>
        <w:t>דו"ח השנתי 201</w:t>
      </w:r>
      <w:r w:rsidR="0090574F">
        <w:rPr>
          <w:rFonts w:hint="cs"/>
          <w:rtl/>
          <w:lang w:bidi="he-IL"/>
        </w:rPr>
        <w:t>3</w:t>
      </w:r>
      <w:r>
        <w:rPr>
          <w:rFonts w:hint="cs"/>
          <w:rtl/>
          <w:lang w:bidi="he-IL"/>
        </w:rPr>
        <w:t xml:space="preserve"> של הביטוח הלאומי</w:t>
      </w:r>
      <w:r w:rsidR="0090574F">
        <w:rPr>
          <w:rStyle w:val="FootnoteReference"/>
          <w:rtl/>
          <w:lang w:bidi="he-IL"/>
        </w:rPr>
        <w:footnoteReference w:id="8"/>
      </w:r>
      <w:r>
        <w:rPr>
          <w:rFonts w:hint="cs"/>
          <w:rtl/>
          <w:lang w:bidi="he-IL"/>
        </w:rPr>
        <w:t xml:space="preserve"> וקריטריונים נוספים שפורסמו בדו"ח </w:t>
      </w:r>
      <w:r w:rsidR="0090574F">
        <w:rPr>
          <w:rFonts w:hint="cs"/>
          <w:rtl/>
          <w:lang w:bidi="he-IL"/>
        </w:rPr>
        <w:t xml:space="preserve">מדיניות חברתית ומגמות </w:t>
      </w:r>
      <w:r w:rsidR="00315D0B">
        <w:rPr>
          <w:rFonts w:hint="cs"/>
          <w:rtl/>
          <w:lang w:bidi="he-IL"/>
        </w:rPr>
        <w:t>הה</w:t>
      </w:r>
      <w:r w:rsidR="0090574F">
        <w:rPr>
          <w:rFonts w:hint="cs"/>
          <w:rtl/>
          <w:lang w:bidi="he-IL"/>
        </w:rPr>
        <w:t>תפתחות של הביטוח הלאומי לשנת 2012.</w:t>
      </w:r>
      <w:r w:rsidR="00315D0B">
        <w:rPr>
          <w:rFonts w:hint="cs"/>
          <w:rtl/>
          <w:lang w:bidi="he-IL"/>
        </w:rPr>
        <w:t xml:space="preserve"> במסגרת דו"ח המדיניות החברתית ומגמות ההתפתחות קיים דיון בנוגע לצורך בהגדרת קו עוני שישקף את ההכנסה המינימלית המאפשרת להתקיים בכבוד</w:t>
      </w:r>
      <w:r w:rsidR="002D1112">
        <w:rPr>
          <w:rFonts w:hint="cs"/>
          <w:rtl/>
          <w:lang w:bidi="he-IL"/>
        </w:rPr>
        <w:t>,</w:t>
      </w:r>
      <w:r w:rsidR="00315D0B">
        <w:rPr>
          <w:rFonts w:hint="cs"/>
          <w:rtl/>
          <w:lang w:bidi="he-IL"/>
        </w:rPr>
        <w:t xml:space="preserve"> כאשר קו העוני של הביטוח הלאומי מבוסס</w:t>
      </w:r>
      <w:r w:rsidR="002D1112">
        <w:rPr>
          <w:rFonts w:hint="cs"/>
          <w:rtl/>
          <w:lang w:bidi="he-IL"/>
        </w:rPr>
        <w:t xml:space="preserve"> על שיקוף הכנסה זו. לאור האמור הוחלט לה</w:t>
      </w:r>
      <w:r w:rsidR="00315D0B">
        <w:rPr>
          <w:rFonts w:hint="cs"/>
          <w:rtl/>
          <w:lang w:bidi="he-IL"/>
        </w:rPr>
        <w:t xml:space="preserve">התייחס לקו העוני של ביטוח לאומי </w:t>
      </w:r>
      <w:r w:rsidR="002D1112">
        <w:rPr>
          <w:rFonts w:hint="cs"/>
          <w:rtl/>
          <w:lang w:bidi="he-IL"/>
        </w:rPr>
        <w:t xml:space="preserve">גם כמדד </w:t>
      </w:r>
      <w:r w:rsidR="00315D0B">
        <w:rPr>
          <w:rFonts w:hint="cs"/>
          <w:rtl/>
          <w:lang w:bidi="he-IL"/>
        </w:rPr>
        <w:t>ההוצאה המינימלית לנפש בכדי להתקיים בכבוד.</w:t>
      </w:r>
    </w:p>
    <w:p w:rsidR="0090574F" w:rsidRDefault="0090574F" w:rsidP="00FD7887">
      <w:pPr>
        <w:bidi/>
        <w:rPr>
          <w:rtl/>
          <w:lang w:bidi="he-IL"/>
        </w:rPr>
      </w:pPr>
      <w:r>
        <w:rPr>
          <w:rFonts w:hint="cs"/>
          <w:rtl/>
          <w:lang w:bidi="he-IL"/>
        </w:rPr>
        <w:t>בהשוואה בין קווי העוני של הביטוח הלאומי ל</w:t>
      </w:r>
      <w:r w:rsidR="00AD4549">
        <w:rPr>
          <w:rFonts w:hint="cs"/>
          <w:rtl/>
          <w:lang w:bidi="he-IL"/>
        </w:rPr>
        <w:t>ק</w:t>
      </w:r>
      <w:r>
        <w:rPr>
          <w:rFonts w:hint="cs"/>
          <w:rtl/>
          <w:lang w:bidi="he-IL"/>
        </w:rPr>
        <w:t>ווי העוני של הארנונה מתקבל כי קיימת התאמה מסויימת מול קו העוני של הביטוח הלאומי (2013), אך התאמה זו לא מלאה וקו העוני של הארנונה מפלה לרעה משפחות בגודל 3-6 נפשות בעוד ש</w:t>
      </w:r>
      <w:r w:rsidR="00FD7887">
        <w:rPr>
          <w:rFonts w:hint="cs"/>
          <w:rtl/>
          <w:lang w:bidi="he-IL"/>
        </w:rPr>
        <w:t>שאר האוכלוסיה</w:t>
      </w:r>
      <w:r>
        <w:rPr>
          <w:rFonts w:hint="cs"/>
          <w:rtl/>
          <w:lang w:bidi="he-IL"/>
        </w:rPr>
        <w:t xml:space="preserve"> </w:t>
      </w:r>
      <w:r w:rsidR="00FD7887">
        <w:rPr>
          <w:rFonts w:hint="cs"/>
          <w:rtl/>
          <w:lang w:bidi="he-IL"/>
        </w:rPr>
        <w:t>מופל</w:t>
      </w:r>
      <w:r>
        <w:rPr>
          <w:rFonts w:hint="cs"/>
          <w:rtl/>
          <w:lang w:bidi="he-IL"/>
        </w:rPr>
        <w:t>ת לטובה</w:t>
      </w:r>
    </w:p>
    <w:p w:rsidR="00D64843" w:rsidRPr="00D64843" w:rsidRDefault="0090574F" w:rsidP="00913237">
      <w:pPr>
        <w:pStyle w:val="Caption"/>
        <w:bidi/>
        <w:jc w:val="center"/>
        <w:rPr>
          <w:rtl/>
          <w:lang w:bidi="he-IL"/>
        </w:rPr>
      </w:pPr>
      <w:r>
        <w:rPr>
          <w:rFonts w:hint="cs"/>
          <w:noProof/>
          <w:lang w:bidi="he-IL"/>
        </w:rPr>
        <w:drawing>
          <wp:inline distT="0" distB="0" distL="0" distR="0">
            <wp:extent cx="5712031" cy="4127437"/>
            <wp:effectExtent l="19050" t="0" r="2969"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5729769" cy="4140254"/>
                    </a:xfrm>
                    <a:prstGeom prst="rect">
                      <a:avLst/>
                    </a:prstGeom>
                    <a:noFill/>
                    <a:ln w="9525">
                      <a:noFill/>
                      <a:miter lim="800000"/>
                      <a:headEnd/>
                      <a:tailEnd/>
                    </a:ln>
                  </pic:spPr>
                </pic:pic>
              </a:graphicData>
            </a:graphic>
          </wp:inline>
        </w:drawing>
      </w:r>
      <w:r w:rsidR="00913237">
        <w:rPr>
          <w:rFonts w:hint="cs"/>
          <w:rtl/>
          <w:lang w:bidi="he-IL"/>
        </w:rPr>
        <w:br/>
      </w:r>
      <w:r w:rsidR="00913237" w:rsidRPr="00913237">
        <w:rPr>
          <w:rFonts w:hint="cs"/>
          <w:color w:val="auto"/>
          <w:sz w:val="20"/>
          <w:szCs w:val="20"/>
          <w:u w:val="single"/>
          <w:rtl/>
          <w:lang w:bidi="he-IL"/>
        </w:rPr>
        <w:t>איור</w:t>
      </w:r>
      <w:r w:rsidR="00913237" w:rsidRPr="00913237">
        <w:rPr>
          <w:color w:val="auto"/>
          <w:sz w:val="20"/>
          <w:szCs w:val="20"/>
          <w:u w:val="single"/>
          <w:rtl/>
          <w:lang w:bidi="he-IL"/>
        </w:rPr>
        <w:t xml:space="preserve"> </w:t>
      </w:r>
      <w:r w:rsidR="00913237" w:rsidRPr="00913237">
        <w:rPr>
          <w:color w:val="auto"/>
          <w:sz w:val="20"/>
          <w:szCs w:val="20"/>
          <w:u w:val="single"/>
          <w:rtl/>
          <w:lang w:bidi="he-IL"/>
        </w:rPr>
        <w:fldChar w:fldCharType="begin"/>
      </w:r>
      <w:r w:rsidR="00913237" w:rsidRPr="00913237">
        <w:rPr>
          <w:color w:val="auto"/>
          <w:sz w:val="20"/>
          <w:szCs w:val="20"/>
          <w:u w:val="single"/>
          <w:rtl/>
          <w:lang w:bidi="he-IL"/>
        </w:rPr>
        <w:instrText xml:space="preserve"> </w:instrText>
      </w:r>
      <w:r w:rsidR="00913237" w:rsidRPr="00913237">
        <w:rPr>
          <w:color w:val="auto"/>
          <w:sz w:val="20"/>
          <w:szCs w:val="20"/>
          <w:u w:val="single"/>
          <w:lang w:bidi="he-IL"/>
        </w:rPr>
        <w:instrText>SEQ</w:instrText>
      </w:r>
      <w:r w:rsidR="00913237" w:rsidRPr="00913237">
        <w:rPr>
          <w:color w:val="auto"/>
          <w:sz w:val="20"/>
          <w:szCs w:val="20"/>
          <w:u w:val="single"/>
          <w:rtl/>
          <w:lang w:bidi="he-IL"/>
        </w:rPr>
        <w:instrText xml:space="preserve"> איור \* </w:instrText>
      </w:r>
      <w:r w:rsidR="00913237" w:rsidRPr="00913237">
        <w:rPr>
          <w:color w:val="auto"/>
          <w:sz w:val="20"/>
          <w:szCs w:val="20"/>
          <w:u w:val="single"/>
          <w:lang w:bidi="he-IL"/>
        </w:rPr>
        <w:instrText>ARABIC</w:instrText>
      </w:r>
      <w:r w:rsidR="00913237" w:rsidRPr="00913237">
        <w:rPr>
          <w:color w:val="auto"/>
          <w:sz w:val="20"/>
          <w:szCs w:val="20"/>
          <w:u w:val="single"/>
          <w:rtl/>
          <w:lang w:bidi="he-IL"/>
        </w:rPr>
        <w:instrText xml:space="preserve"> </w:instrText>
      </w:r>
      <w:r w:rsidR="00913237" w:rsidRPr="00913237">
        <w:rPr>
          <w:color w:val="auto"/>
          <w:sz w:val="20"/>
          <w:szCs w:val="20"/>
          <w:u w:val="single"/>
          <w:rtl/>
          <w:lang w:bidi="he-IL"/>
        </w:rPr>
        <w:fldChar w:fldCharType="separate"/>
      </w:r>
      <w:r w:rsidR="00913237">
        <w:rPr>
          <w:noProof/>
          <w:color w:val="auto"/>
          <w:sz w:val="20"/>
          <w:szCs w:val="20"/>
          <w:u w:val="single"/>
          <w:rtl/>
          <w:lang w:bidi="he-IL"/>
        </w:rPr>
        <w:t>3</w:t>
      </w:r>
      <w:r w:rsidR="00913237" w:rsidRPr="00913237">
        <w:rPr>
          <w:color w:val="auto"/>
          <w:sz w:val="20"/>
          <w:szCs w:val="20"/>
          <w:u w:val="single"/>
          <w:rtl/>
          <w:lang w:bidi="he-IL"/>
        </w:rPr>
        <w:fldChar w:fldCharType="end"/>
      </w:r>
      <w:r w:rsidR="00913237" w:rsidRPr="00913237">
        <w:rPr>
          <w:noProof/>
          <w:color w:val="auto"/>
          <w:sz w:val="20"/>
          <w:szCs w:val="20"/>
          <w:u w:val="single"/>
          <w:rtl/>
          <w:lang w:bidi="he-IL"/>
        </w:rPr>
        <w:t xml:space="preserve"> </w:t>
      </w:r>
      <w:r w:rsidR="00913237" w:rsidRPr="00913237">
        <w:rPr>
          <w:rFonts w:hint="cs"/>
          <w:noProof/>
          <w:color w:val="auto"/>
          <w:sz w:val="20"/>
          <w:szCs w:val="20"/>
          <w:u w:val="single"/>
          <w:rtl/>
          <w:lang w:bidi="he-IL"/>
        </w:rPr>
        <w:t>- הגדרות שונות קוי עוני - ביטוח לאומי, מדדים מחו"ל</w:t>
      </w:r>
    </w:p>
    <w:p w:rsidR="00A2238C" w:rsidRDefault="00AD4549" w:rsidP="00AD4549">
      <w:pPr>
        <w:bidi/>
        <w:rPr>
          <w:rtl/>
          <w:lang w:bidi="he-IL"/>
        </w:rPr>
      </w:pPr>
      <w:r>
        <w:rPr>
          <w:rFonts w:hint="cs"/>
          <w:rtl/>
          <w:lang w:bidi="he-IL"/>
        </w:rPr>
        <w:t xml:space="preserve">אם זאת, ההבדלים בין </w:t>
      </w:r>
      <w:r w:rsidR="00A2238C">
        <w:rPr>
          <w:rFonts w:hint="cs"/>
          <w:rtl/>
          <w:lang w:bidi="he-IL"/>
        </w:rPr>
        <w:t xml:space="preserve">קווי העוני </w:t>
      </w:r>
      <w:r>
        <w:rPr>
          <w:rFonts w:hint="cs"/>
          <w:rtl/>
          <w:lang w:bidi="he-IL"/>
        </w:rPr>
        <w:t>ה</w:t>
      </w:r>
      <w:r w:rsidR="00A2238C">
        <w:rPr>
          <w:rFonts w:hint="cs"/>
          <w:rtl/>
          <w:lang w:bidi="he-IL"/>
        </w:rPr>
        <w:t xml:space="preserve">מתקבל </w:t>
      </w:r>
      <w:r>
        <w:rPr>
          <w:rFonts w:hint="cs"/>
          <w:rtl/>
          <w:lang w:bidi="he-IL"/>
        </w:rPr>
        <w:t>מ</w:t>
      </w:r>
      <w:r w:rsidR="00A2238C">
        <w:rPr>
          <w:rFonts w:hint="cs"/>
          <w:rtl/>
          <w:lang w:bidi="he-IL"/>
        </w:rPr>
        <w:t xml:space="preserve">מבחן ההכנסה של הארנונה </w:t>
      </w:r>
      <w:r>
        <w:rPr>
          <w:rFonts w:hint="cs"/>
          <w:rtl/>
          <w:lang w:bidi="he-IL"/>
        </w:rPr>
        <w:t>ו</w:t>
      </w:r>
      <w:r w:rsidR="00A2238C">
        <w:rPr>
          <w:rFonts w:hint="cs"/>
          <w:rtl/>
          <w:lang w:bidi="he-IL"/>
        </w:rPr>
        <w:t>קו העוני של הביטוח הלאומי</w:t>
      </w:r>
      <w:r>
        <w:rPr>
          <w:rStyle w:val="FootnoteReference"/>
          <w:rtl/>
          <w:lang w:bidi="he-IL"/>
        </w:rPr>
        <w:footnoteReference w:id="9"/>
      </w:r>
      <w:r w:rsidR="00A2238C">
        <w:rPr>
          <w:rFonts w:hint="cs"/>
          <w:rtl/>
          <w:lang w:bidi="he-IL"/>
        </w:rPr>
        <w:t xml:space="preserve"> </w:t>
      </w:r>
      <w:r>
        <w:rPr>
          <w:rFonts w:hint="cs"/>
          <w:rtl/>
          <w:lang w:bidi="he-IL"/>
        </w:rPr>
        <w:t xml:space="preserve">לא משמעותיים </w:t>
      </w:r>
      <w:r w:rsidR="00A2238C">
        <w:rPr>
          <w:rFonts w:hint="cs"/>
          <w:rtl/>
          <w:lang w:bidi="he-IL"/>
        </w:rPr>
        <w:t>ולכן, במידה וידרש לעדכן אותו לפי מדדים רשמיים, התיקון יהיה מתון.</w:t>
      </w:r>
    </w:p>
    <w:p w:rsidR="000062D4" w:rsidRDefault="00315D0B" w:rsidP="00315D0B">
      <w:pPr>
        <w:pStyle w:val="Heading2"/>
        <w:bidi/>
        <w:rPr>
          <w:rtl/>
          <w:lang w:bidi="he-IL"/>
        </w:rPr>
      </w:pPr>
      <w:r>
        <w:rPr>
          <w:rFonts w:hint="cs"/>
          <w:rtl/>
          <w:lang w:bidi="he-IL"/>
        </w:rPr>
        <w:lastRenderedPageBreak/>
        <w:t>ההבדלים בין הרשויות בתעריף לאחר הנחה</w:t>
      </w:r>
    </w:p>
    <w:p w:rsidR="00315D0B" w:rsidRDefault="00315D0B" w:rsidP="00AD4549">
      <w:pPr>
        <w:bidi/>
        <w:rPr>
          <w:rtl/>
          <w:lang w:bidi="he-IL"/>
        </w:rPr>
      </w:pPr>
      <w:r>
        <w:rPr>
          <w:rFonts w:hint="cs"/>
          <w:rtl/>
          <w:lang w:bidi="he-IL"/>
        </w:rPr>
        <w:t xml:space="preserve">כשם שתעריפי הארנונה משתנים בין רשות לרשות, כך גם משתנים התעריפים שמשלמים מקבלי ההנחות. </w:t>
      </w:r>
      <w:r w:rsidR="00AD4549">
        <w:rPr>
          <w:rFonts w:hint="cs"/>
          <w:rtl/>
          <w:lang w:bidi="he-IL"/>
        </w:rPr>
        <w:t>הגרף הבא מציג את התעריפים במספר ערים כאשר ההבדלים בין תעריף המינימום והמקסימום נובעים בעיקר מהבדלים בסיווגי הנכסים לפי גודלה הסופי של הדירה (ככל שהדירה יותר גדולה, התעריף גבוה יותר).</w:t>
      </w:r>
    </w:p>
    <w:p w:rsidR="00C675DE" w:rsidRDefault="00C675DE" w:rsidP="00913237">
      <w:pPr>
        <w:pStyle w:val="Caption"/>
        <w:bidi/>
        <w:jc w:val="center"/>
        <w:rPr>
          <w:rtl/>
          <w:lang w:bidi="he-IL"/>
        </w:rPr>
      </w:pPr>
      <w:r>
        <w:rPr>
          <w:rFonts w:hint="cs"/>
          <w:noProof/>
          <w:lang w:bidi="he-IL"/>
        </w:rPr>
        <w:drawing>
          <wp:inline distT="0" distB="0" distL="0" distR="0">
            <wp:extent cx="5749146" cy="4171392"/>
            <wp:effectExtent l="19050" t="0" r="3954"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755213" cy="4175794"/>
                    </a:xfrm>
                    <a:prstGeom prst="rect">
                      <a:avLst/>
                    </a:prstGeom>
                    <a:noFill/>
                    <a:ln w="9525">
                      <a:noFill/>
                      <a:miter lim="800000"/>
                      <a:headEnd/>
                      <a:tailEnd/>
                    </a:ln>
                  </pic:spPr>
                </pic:pic>
              </a:graphicData>
            </a:graphic>
          </wp:inline>
        </w:drawing>
      </w:r>
      <w:r w:rsidR="00913237">
        <w:rPr>
          <w:rFonts w:hint="cs"/>
          <w:rtl/>
          <w:lang w:bidi="he-IL"/>
        </w:rPr>
        <w:br/>
      </w:r>
      <w:r w:rsidR="00913237" w:rsidRPr="00913237">
        <w:rPr>
          <w:rFonts w:hint="cs"/>
          <w:color w:val="auto"/>
          <w:sz w:val="20"/>
          <w:szCs w:val="20"/>
          <w:u w:val="single"/>
          <w:rtl/>
          <w:lang w:bidi="he-IL"/>
        </w:rPr>
        <w:t>איור</w:t>
      </w:r>
      <w:r w:rsidR="00913237" w:rsidRPr="00913237">
        <w:rPr>
          <w:color w:val="auto"/>
          <w:sz w:val="20"/>
          <w:szCs w:val="20"/>
          <w:u w:val="single"/>
          <w:rtl/>
          <w:lang w:bidi="he-IL"/>
        </w:rPr>
        <w:t xml:space="preserve"> </w:t>
      </w:r>
      <w:r w:rsidR="00913237" w:rsidRPr="00913237">
        <w:rPr>
          <w:color w:val="auto"/>
          <w:sz w:val="20"/>
          <w:szCs w:val="20"/>
          <w:u w:val="single"/>
          <w:rtl/>
          <w:lang w:bidi="he-IL"/>
        </w:rPr>
        <w:fldChar w:fldCharType="begin"/>
      </w:r>
      <w:r w:rsidR="00913237" w:rsidRPr="00913237">
        <w:rPr>
          <w:color w:val="auto"/>
          <w:sz w:val="20"/>
          <w:szCs w:val="20"/>
          <w:u w:val="single"/>
          <w:rtl/>
          <w:lang w:bidi="he-IL"/>
        </w:rPr>
        <w:instrText xml:space="preserve"> </w:instrText>
      </w:r>
      <w:r w:rsidR="00913237" w:rsidRPr="00913237">
        <w:rPr>
          <w:color w:val="auto"/>
          <w:sz w:val="20"/>
          <w:szCs w:val="20"/>
          <w:u w:val="single"/>
          <w:lang w:bidi="he-IL"/>
        </w:rPr>
        <w:instrText>SEQ</w:instrText>
      </w:r>
      <w:r w:rsidR="00913237" w:rsidRPr="00913237">
        <w:rPr>
          <w:color w:val="auto"/>
          <w:sz w:val="20"/>
          <w:szCs w:val="20"/>
          <w:u w:val="single"/>
          <w:rtl/>
          <w:lang w:bidi="he-IL"/>
        </w:rPr>
        <w:instrText xml:space="preserve"> איור \* </w:instrText>
      </w:r>
      <w:r w:rsidR="00913237" w:rsidRPr="00913237">
        <w:rPr>
          <w:color w:val="auto"/>
          <w:sz w:val="20"/>
          <w:szCs w:val="20"/>
          <w:u w:val="single"/>
          <w:lang w:bidi="he-IL"/>
        </w:rPr>
        <w:instrText>ARABIC</w:instrText>
      </w:r>
      <w:r w:rsidR="00913237" w:rsidRPr="00913237">
        <w:rPr>
          <w:color w:val="auto"/>
          <w:sz w:val="20"/>
          <w:szCs w:val="20"/>
          <w:u w:val="single"/>
          <w:rtl/>
          <w:lang w:bidi="he-IL"/>
        </w:rPr>
        <w:instrText xml:space="preserve"> </w:instrText>
      </w:r>
      <w:r w:rsidR="00913237" w:rsidRPr="00913237">
        <w:rPr>
          <w:color w:val="auto"/>
          <w:sz w:val="20"/>
          <w:szCs w:val="20"/>
          <w:u w:val="single"/>
          <w:rtl/>
          <w:lang w:bidi="he-IL"/>
        </w:rPr>
        <w:fldChar w:fldCharType="separate"/>
      </w:r>
      <w:r w:rsidR="00913237" w:rsidRPr="00913237">
        <w:rPr>
          <w:noProof/>
          <w:color w:val="auto"/>
          <w:sz w:val="20"/>
          <w:szCs w:val="20"/>
          <w:u w:val="single"/>
          <w:rtl/>
          <w:lang w:bidi="he-IL"/>
        </w:rPr>
        <w:t>4</w:t>
      </w:r>
      <w:r w:rsidR="00913237" w:rsidRPr="00913237">
        <w:rPr>
          <w:color w:val="auto"/>
          <w:sz w:val="20"/>
          <w:szCs w:val="20"/>
          <w:u w:val="single"/>
          <w:rtl/>
          <w:lang w:bidi="he-IL"/>
        </w:rPr>
        <w:fldChar w:fldCharType="end"/>
      </w:r>
      <w:r w:rsidR="00913237" w:rsidRPr="00913237">
        <w:rPr>
          <w:noProof/>
          <w:color w:val="auto"/>
          <w:sz w:val="20"/>
          <w:szCs w:val="20"/>
          <w:u w:val="single"/>
          <w:rtl/>
          <w:lang w:bidi="he-IL"/>
        </w:rPr>
        <w:t xml:space="preserve"> </w:t>
      </w:r>
      <w:r w:rsidR="00913237" w:rsidRPr="00913237">
        <w:rPr>
          <w:rFonts w:hint="cs"/>
          <w:noProof/>
          <w:color w:val="auto"/>
          <w:sz w:val="20"/>
          <w:szCs w:val="20"/>
          <w:u w:val="single"/>
          <w:rtl/>
          <w:lang w:bidi="he-IL"/>
        </w:rPr>
        <w:t xml:space="preserve"> - תחום תעריפי הארנונה לתשלום לאחר הנחה באזורים זולים בערים נבחרות</w:t>
      </w:r>
    </w:p>
    <w:p w:rsidR="00EF7FD6" w:rsidRDefault="00AD4549" w:rsidP="00AD4549">
      <w:pPr>
        <w:bidi/>
        <w:rPr>
          <w:rtl/>
          <w:lang w:bidi="he-IL"/>
        </w:rPr>
      </w:pPr>
      <w:r>
        <w:rPr>
          <w:rFonts w:hint="cs"/>
          <w:rtl/>
          <w:lang w:bidi="he-IL"/>
        </w:rPr>
        <w:t xml:space="preserve">בחינה של התעריפים שמשלמים מקבלי הנחות בפועל מראה כי עבור אזורי הארנונה הזולים ההבדלים עבור נכסים בסיווג גודל קטן מ-100 מ"ר הם לרוב לא משמעותיים, אם זאת </w:t>
      </w:r>
      <w:r w:rsidR="00EF7FD6">
        <w:rPr>
          <w:rFonts w:hint="cs"/>
          <w:rtl/>
          <w:lang w:bidi="he-IL"/>
        </w:rPr>
        <w:t>היות וקבלת ההנחה אינה מותנית ב</w:t>
      </w:r>
      <w:r w:rsidR="00D9051B">
        <w:rPr>
          <w:rFonts w:hint="cs"/>
          <w:rtl/>
          <w:lang w:bidi="he-IL"/>
        </w:rPr>
        <w:t xml:space="preserve">גודל הדירה, יש להניח כי בקרב מקבלי הנחה קיימים כאלה אשר גרים בדירות גדולות ומשלמים יותר. </w:t>
      </w:r>
      <w:r>
        <w:rPr>
          <w:rtl/>
          <w:lang w:bidi="he-IL"/>
        </w:rPr>
        <w:br/>
      </w:r>
      <w:r>
        <w:rPr>
          <w:rFonts w:hint="cs"/>
          <w:rtl/>
          <w:lang w:bidi="he-IL"/>
        </w:rPr>
        <w:t>על אף כי לא קיימים נתונים זמינים להוכיח זאת</w:t>
      </w:r>
      <w:r>
        <w:rPr>
          <w:rStyle w:val="FootnoteReference"/>
          <w:rtl/>
          <w:lang w:bidi="he-IL"/>
        </w:rPr>
        <w:footnoteReference w:id="10"/>
      </w:r>
      <w:r>
        <w:rPr>
          <w:rFonts w:hint="cs"/>
          <w:rtl/>
          <w:lang w:bidi="he-IL"/>
        </w:rPr>
        <w:t>, ההנחה היא שה</w:t>
      </w:r>
      <w:r w:rsidR="00D9051B">
        <w:rPr>
          <w:rFonts w:hint="cs"/>
          <w:rtl/>
          <w:lang w:bidi="he-IL"/>
        </w:rPr>
        <w:t xml:space="preserve">אוכלוסיה </w:t>
      </w:r>
      <w:r>
        <w:rPr>
          <w:rFonts w:hint="cs"/>
          <w:rtl/>
          <w:lang w:bidi="he-IL"/>
        </w:rPr>
        <w:t>החלשה</w:t>
      </w:r>
      <w:r w:rsidR="00D9051B">
        <w:rPr>
          <w:rFonts w:hint="cs"/>
          <w:rtl/>
          <w:lang w:bidi="he-IL"/>
        </w:rPr>
        <w:t xml:space="preserve"> תשאף לגור בדירה </w:t>
      </w:r>
      <w:r w:rsidR="0092644C">
        <w:rPr>
          <w:rFonts w:hint="cs"/>
          <w:rtl/>
          <w:lang w:bidi="he-IL"/>
        </w:rPr>
        <w:t xml:space="preserve">בגודל </w:t>
      </w:r>
      <w:r w:rsidR="00D9051B">
        <w:rPr>
          <w:rFonts w:hint="cs"/>
          <w:rtl/>
          <w:lang w:bidi="he-IL"/>
        </w:rPr>
        <w:t>המינימלי</w:t>
      </w:r>
      <w:r w:rsidR="0092644C">
        <w:rPr>
          <w:rFonts w:hint="cs"/>
          <w:rtl/>
          <w:lang w:bidi="he-IL"/>
        </w:rPr>
        <w:t xml:space="preserve"> ביותר </w:t>
      </w:r>
      <w:r w:rsidR="00D9051B">
        <w:rPr>
          <w:rFonts w:hint="cs"/>
          <w:rtl/>
          <w:lang w:bidi="he-IL"/>
        </w:rPr>
        <w:t>על מנת לחסוך בהוצאות דיור</w:t>
      </w:r>
      <w:r>
        <w:rPr>
          <w:rFonts w:hint="cs"/>
          <w:rtl/>
          <w:lang w:bidi="he-IL"/>
        </w:rPr>
        <w:t>, כשם שהאוכלוסיה החלשה תבחר לגור באזורי הארנונה הזולים</w:t>
      </w:r>
      <w:r w:rsidR="00D9051B">
        <w:rPr>
          <w:rFonts w:hint="cs"/>
          <w:rtl/>
          <w:lang w:bidi="he-IL"/>
        </w:rPr>
        <w:t xml:space="preserve">. </w:t>
      </w:r>
      <w:r w:rsidR="0092644C">
        <w:rPr>
          <w:rFonts w:hint="cs"/>
          <w:rtl/>
          <w:lang w:bidi="he-IL"/>
        </w:rPr>
        <w:t>לאור הנחה זו סביר כי האוכלוסיה שמקבלת הנחות משלמת תעריפים הקרובים למינימום מאשר בתחום העליון</w:t>
      </w:r>
      <w:r>
        <w:rPr>
          <w:rFonts w:hint="cs"/>
          <w:rtl/>
          <w:lang w:bidi="he-IL"/>
        </w:rPr>
        <w:t xml:space="preserve">. </w:t>
      </w:r>
      <w:r w:rsidR="0092644C">
        <w:rPr>
          <w:rFonts w:hint="cs"/>
          <w:rtl/>
          <w:lang w:bidi="he-IL"/>
        </w:rPr>
        <w:t>תעריפים אלה נעים בין 20-30 ש"ח למ"ר לשנה (אחרי 40% הנחה), כאשר הממוצע עומד על 22 ש"ח למ"ר לשנה.</w:t>
      </w:r>
    </w:p>
    <w:p w:rsidR="0092644C" w:rsidRDefault="0092644C" w:rsidP="00AD4549">
      <w:pPr>
        <w:bidi/>
        <w:rPr>
          <w:rtl/>
          <w:lang w:bidi="he-IL"/>
        </w:rPr>
      </w:pPr>
      <w:r>
        <w:rPr>
          <w:rFonts w:hint="cs"/>
          <w:rtl/>
          <w:lang w:bidi="he-IL"/>
        </w:rPr>
        <w:t xml:space="preserve">החשיבות של הדימיון של התעריף לאחר הנחה בין הרשויות </w:t>
      </w:r>
      <w:r w:rsidR="00AD4549">
        <w:rPr>
          <w:rFonts w:hint="cs"/>
          <w:rtl/>
          <w:lang w:bidi="he-IL"/>
        </w:rPr>
        <w:t xml:space="preserve">גבוהה - </w:t>
      </w:r>
      <w:r>
        <w:rPr>
          <w:rFonts w:hint="cs"/>
          <w:rtl/>
          <w:lang w:bidi="he-IL"/>
        </w:rPr>
        <w:t>במידה וטבלת מבחן ההכנסה תגדיר תעריפים לתשלום במקום אחוזי הנחה, יהיה ניתן לקבוע טבלת תעריפים אחידה בכל הארץ וכך</w:t>
      </w:r>
      <w:r w:rsidR="00527E85">
        <w:rPr>
          <w:rFonts w:hint="cs"/>
          <w:rtl/>
          <w:lang w:bidi="he-IL"/>
        </w:rPr>
        <w:t>,</w:t>
      </w:r>
      <w:r>
        <w:rPr>
          <w:rFonts w:hint="cs"/>
          <w:rtl/>
          <w:lang w:bidi="he-IL"/>
        </w:rPr>
        <w:t xml:space="preserve"> במקרה של </w:t>
      </w:r>
      <w:r w:rsidR="00470EFC">
        <w:rPr>
          <w:rFonts w:hint="cs"/>
          <w:rtl/>
          <w:lang w:bidi="he-IL"/>
        </w:rPr>
        <w:t xml:space="preserve">ביטול </w:t>
      </w:r>
      <w:r>
        <w:rPr>
          <w:rFonts w:hint="cs"/>
          <w:rtl/>
          <w:lang w:bidi="he-IL"/>
        </w:rPr>
        <w:t>אזורי ארנונה, אוכלוסיית מקבלי ה</w:t>
      </w:r>
      <w:r w:rsidR="00470EFC">
        <w:rPr>
          <w:rFonts w:hint="cs"/>
          <w:rtl/>
          <w:lang w:bidi="he-IL"/>
        </w:rPr>
        <w:t>הנחה תהיה אדישה לביטול</w:t>
      </w:r>
      <w:r w:rsidR="00527E85">
        <w:rPr>
          <w:rFonts w:hint="cs"/>
          <w:rtl/>
          <w:lang w:bidi="he-IL"/>
        </w:rPr>
        <w:t xml:space="preserve">! יתרה מזאת, אוכלוסית מקבלי ההנחות על פי מבחן הכנסה תהיה אדישה </w:t>
      </w:r>
      <w:r w:rsidR="00527E85" w:rsidRPr="00527E85">
        <w:rPr>
          <w:rFonts w:hint="cs"/>
          <w:b/>
          <w:bCs/>
          <w:u w:val="single"/>
          <w:rtl/>
          <w:lang w:bidi="he-IL"/>
        </w:rPr>
        <w:t>ל</w:t>
      </w:r>
      <w:r w:rsidR="00470EFC" w:rsidRPr="00527E85">
        <w:rPr>
          <w:rFonts w:hint="cs"/>
          <w:b/>
          <w:bCs/>
          <w:u w:val="single"/>
          <w:rtl/>
          <w:lang w:bidi="he-IL"/>
        </w:rPr>
        <w:t>כל שינוי במבנה התעריפים של הארנונה</w:t>
      </w:r>
      <w:r w:rsidR="00470EFC">
        <w:rPr>
          <w:rFonts w:hint="cs"/>
          <w:rtl/>
          <w:lang w:bidi="he-IL"/>
        </w:rPr>
        <w:t>!</w:t>
      </w:r>
    </w:p>
    <w:p w:rsidR="00470EFC" w:rsidRDefault="00470EFC" w:rsidP="00470EFC">
      <w:pPr>
        <w:bidi/>
        <w:rPr>
          <w:rtl/>
          <w:lang w:bidi="he-IL"/>
        </w:rPr>
      </w:pPr>
      <w:r>
        <w:rPr>
          <w:rFonts w:hint="cs"/>
          <w:rtl/>
          <w:lang w:bidi="he-IL"/>
        </w:rPr>
        <w:lastRenderedPageBreak/>
        <w:t>מעבר לטבלת תעריפים אחידה לזכאים על פי מבחן הכנסה תמיר את ההנחות לתעריפים לפי המפתח הבא:</w:t>
      </w:r>
    </w:p>
    <w:tbl>
      <w:tblPr>
        <w:bidiVisual/>
        <w:tblW w:w="8680" w:type="dxa"/>
        <w:jc w:val="center"/>
        <w:tblInd w:w="103" w:type="dxa"/>
        <w:tblLook w:val="04A0"/>
      </w:tblPr>
      <w:tblGrid>
        <w:gridCol w:w="1020"/>
        <w:gridCol w:w="820"/>
        <w:gridCol w:w="1680"/>
        <w:gridCol w:w="1300"/>
        <w:gridCol w:w="1300"/>
        <w:gridCol w:w="1260"/>
        <w:gridCol w:w="1300"/>
      </w:tblGrid>
      <w:tr w:rsidR="00470EFC" w:rsidRPr="00470EFC" w:rsidTr="00913237">
        <w:trPr>
          <w:trHeight w:val="300"/>
          <w:jc w:val="center"/>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527E85" w:rsidP="00527E85">
            <w:pPr>
              <w:bidi/>
              <w:spacing w:after="0" w:line="240" w:lineRule="auto"/>
              <w:jc w:val="center"/>
              <w:rPr>
                <w:rFonts w:ascii="Calibri" w:eastAsia="Times New Roman" w:hAnsi="Calibri" w:cs="Times New Roman"/>
                <w:color w:val="000000"/>
                <w:lang w:bidi="he-IL"/>
              </w:rPr>
            </w:pPr>
            <w:r>
              <w:rPr>
                <w:rFonts w:ascii="Calibri" w:eastAsia="Times New Roman" w:hAnsi="Calibri" w:cs="Times New Roman" w:hint="cs"/>
                <w:color w:val="000000"/>
                <w:rtl/>
                <w:lang w:bidi="he-IL"/>
              </w:rPr>
              <w:t xml:space="preserve">אחוז </w:t>
            </w:r>
            <w:r w:rsidR="00470EFC" w:rsidRPr="00470EFC">
              <w:rPr>
                <w:rFonts w:ascii="Calibri" w:eastAsia="Times New Roman" w:hAnsi="Calibri" w:cs="Times New Roman"/>
                <w:color w:val="000000"/>
                <w:rtl/>
                <w:lang w:bidi="he-IL"/>
              </w:rPr>
              <w:t>הנחה</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40%</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50%</w:t>
            </w: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60%</w:t>
            </w: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70%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80%</w:t>
            </w:r>
          </w:p>
        </w:tc>
        <w:tc>
          <w:tcPr>
            <w:tcW w:w="13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90%</w:t>
            </w:r>
          </w:p>
        </w:tc>
      </w:tr>
      <w:tr w:rsidR="00470EFC" w:rsidRPr="00470EFC" w:rsidTr="00913237">
        <w:trPr>
          <w:trHeight w:val="300"/>
          <w:jc w:val="center"/>
        </w:trPr>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bidi/>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rtl/>
                <w:lang w:bidi="he-IL"/>
              </w:rPr>
              <w:t>תעריף</w:t>
            </w:r>
            <w:r w:rsidR="00527E85">
              <w:rPr>
                <w:rFonts w:ascii="Calibri" w:eastAsia="Times New Roman" w:hAnsi="Calibri" w:cs="Times New Roman" w:hint="cs"/>
                <w:color w:val="000000"/>
                <w:rtl/>
                <w:lang w:bidi="he-IL"/>
              </w:rPr>
              <w:t xml:space="preserve"> קבוע</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22.1</w:t>
            </w:r>
          </w:p>
        </w:tc>
        <w:tc>
          <w:tcPr>
            <w:tcW w:w="168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18.4</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14.7</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11.1</w:t>
            </w:r>
          </w:p>
        </w:tc>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7.4</w:t>
            </w:r>
          </w:p>
        </w:tc>
        <w:tc>
          <w:tcPr>
            <w:tcW w:w="1300" w:type="dxa"/>
            <w:tcBorders>
              <w:top w:val="nil"/>
              <w:left w:val="single" w:sz="4" w:space="0" w:color="auto"/>
              <w:bottom w:val="single" w:sz="4" w:space="0" w:color="auto"/>
              <w:right w:val="single" w:sz="4" w:space="0" w:color="auto"/>
            </w:tcBorders>
            <w:shd w:val="clear" w:color="auto" w:fill="auto"/>
            <w:noWrap/>
            <w:vAlign w:val="center"/>
            <w:hideMark/>
          </w:tcPr>
          <w:p w:rsidR="00470EFC" w:rsidRPr="00470EFC" w:rsidRDefault="00470EFC" w:rsidP="00527E85">
            <w:pPr>
              <w:spacing w:after="0" w:line="240" w:lineRule="auto"/>
              <w:jc w:val="center"/>
              <w:rPr>
                <w:rFonts w:ascii="Calibri" w:eastAsia="Times New Roman" w:hAnsi="Calibri" w:cs="Times New Roman"/>
                <w:color w:val="000000"/>
                <w:lang w:bidi="he-IL"/>
              </w:rPr>
            </w:pPr>
            <w:r w:rsidRPr="00470EFC">
              <w:rPr>
                <w:rFonts w:ascii="Calibri" w:eastAsia="Times New Roman" w:hAnsi="Calibri" w:cs="Times New Roman"/>
                <w:color w:val="000000"/>
                <w:lang w:bidi="he-IL"/>
              </w:rPr>
              <w:t>3.7</w:t>
            </w:r>
          </w:p>
        </w:tc>
      </w:tr>
    </w:tbl>
    <w:p w:rsidR="00470EFC" w:rsidRPr="00913237" w:rsidRDefault="00913237" w:rsidP="00913237">
      <w:pPr>
        <w:pStyle w:val="Caption"/>
        <w:bidi/>
        <w:jc w:val="center"/>
        <w:rPr>
          <w:color w:val="auto"/>
          <w:u w:val="single"/>
          <w:rtl/>
          <w:lang w:bidi="he-IL"/>
        </w:rPr>
      </w:pPr>
      <w:r w:rsidRPr="00913237">
        <w:rPr>
          <w:rFonts w:hint="cs"/>
          <w:color w:val="auto"/>
          <w:sz w:val="20"/>
          <w:szCs w:val="20"/>
          <w:u w:val="single"/>
          <w:rtl/>
          <w:lang w:bidi="he-IL"/>
        </w:rPr>
        <w:t>טבלה</w:t>
      </w:r>
      <w:r w:rsidRPr="00913237">
        <w:rPr>
          <w:color w:val="auto"/>
          <w:sz w:val="20"/>
          <w:szCs w:val="20"/>
          <w:u w:val="single"/>
          <w:rtl/>
          <w:lang w:bidi="he-IL"/>
        </w:rPr>
        <w:t xml:space="preserve"> </w:t>
      </w:r>
      <w:r w:rsidRPr="00913237">
        <w:rPr>
          <w:color w:val="auto"/>
          <w:sz w:val="20"/>
          <w:szCs w:val="20"/>
          <w:u w:val="single"/>
          <w:rtl/>
          <w:lang w:bidi="he-IL"/>
        </w:rPr>
        <w:fldChar w:fldCharType="begin"/>
      </w:r>
      <w:r w:rsidRPr="00913237">
        <w:rPr>
          <w:color w:val="auto"/>
          <w:sz w:val="20"/>
          <w:szCs w:val="20"/>
          <w:u w:val="single"/>
          <w:rtl/>
          <w:lang w:bidi="he-IL"/>
        </w:rPr>
        <w:instrText xml:space="preserve"> </w:instrText>
      </w:r>
      <w:r w:rsidRPr="00913237">
        <w:rPr>
          <w:color w:val="auto"/>
          <w:sz w:val="20"/>
          <w:szCs w:val="20"/>
          <w:u w:val="single"/>
          <w:lang w:bidi="he-IL"/>
        </w:rPr>
        <w:instrText>SEQ</w:instrText>
      </w:r>
      <w:r w:rsidRPr="00913237">
        <w:rPr>
          <w:color w:val="auto"/>
          <w:sz w:val="20"/>
          <w:szCs w:val="20"/>
          <w:u w:val="single"/>
          <w:rtl/>
          <w:lang w:bidi="he-IL"/>
        </w:rPr>
        <w:instrText xml:space="preserve"> טבלה \* </w:instrText>
      </w:r>
      <w:r w:rsidRPr="00913237">
        <w:rPr>
          <w:color w:val="auto"/>
          <w:sz w:val="20"/>
          <w:szCs w:val="20"/>
          <w:u w:val="single"/>
          <w:lang w:bidi="he-IL"/>
        </w:rPr>
        <w:instrText>ARABIC</w:instrText>
      </w:r>
      <w:r w:rsidRPr="00913237">
        <w:rPr>
          <w:color w:val="auto"/>
          <w:sz w:val="20"/>
          <w:szCs w:val="20"/>
          <w:u w:val="single"/>
          <w:rtl/>
          <w:lang w:bidi="he-IL"/>
        </w:rPr>
        <w:instrText xml:space="preserve"> </w:instrText>
      </w:r>
      <w:r w:rsidRPr="00913237">
        <w:rPr>
          <w:color w:val="auto"/>
          <w:sz w:val="20"/>
          <w:szCs w:val="20"/>
          <w:u w:val="single"/>
          <w:rtl/>
          <w:lang w:bidi="he-IL"/>
        </w:rPr>
        <w:fldChar w:fldCharType="separate"/>
      </w:r>
      <w:r w:rsidR="00EE4CAD">
        <w:rPr>
          <w:noProof/>
          <w:color w:val="auto"/>
          <w:sz w:val="20"/>
          <w:szCs w:val="20"/>
          <w:u w:val="single"/>
          <w:rtl/>
          <w:lang w:bidi="he-IL"/>
        </w:rPr>
        <w:t>2</w:t>
      </w:r>
      <w:r w:rsidRPr="00913237">
        <w:rPr>
          <w:color w:val="auto"/>
          <w:sz w:val="20"/>
          <w:szCs w:val="20"/>
          <w:u w:val="single"/>
          <w:rtl/>
          <w:lang w:bidi="he-IL"/>
        </w:rPr>
        <w:fldChar w:fldCharType="end"/>
      </w:r>
      <w:r w:rsidRPr="00913237">
        <w:rPr>
          <w:noProof/>
          <w:color w:val="auto"/>
          <w:sz w:val="20"/>
          <w:szCs w:val="20"/>
          <w:u w:val="single"/>
          <w:rtl/>
          <w:lang w:bidi="he-IL"/>
        </w:rPr>
        <w:t xml:space="preserve"> </w:t>
      </w:r>
      <w:r w:rsidRPr="00913237">
        <w:rPr>
          <w:rFonts w:hint="cs"/>
          <w:noProof/>
          <w:color w:val="auto"/>
          <w:sz w:val="20"/>
          <w:szCs w:val="20"/>
          <w:u w:val="single"/>
          <w:rtl/>
          <w:lang w:bidi="he-IL"/>
        </w:rPr>
        <w:t>- התאמה בין גובה ההנחה לתעריף הקבוע שיחליף אותה</w:t>
      </w:r>
    </w:p>
    <w:p w:rsidR="00315D0B" w:rsidRDefault="00EE1E7B" w:rsidP="00EE1E7B">
      <w:pPr>
        <w:pStyle w:val="Heading2"/>
        <w:bidi/>
        <w:rPr>
          <w:rtl/>
          <w:lang w:bidi="he-IL"/>
        </w:rPr>
      </w:pPr>
      <w:r>
        <w:rPr>
          <w:rFonts w:hint="cs"/>
          <w:rtl/>
          <w:lang w:bidi="he-IL"/>
        </w:rPr>
        <w:t>אוכלוסיית בעלי ההכנסה בגבול קו העוני</w:t>
      </w:r>
    </w:p>
    <w:p w:rsidR="00EE1E7B" w:rsidRDefault="00EE1E7B" w:rsidP="00EE1E7B">
      <w:pPr>
        <w:bidi/>
        <w:rPr>
          <w:rtl/>
          <w:lang w:bidi="he-IL"/>
        </w:rPr>
      </w:pPr>
      <w:r>
        <w:rPr>
          <w:rFonts w:hint="cs"/>
          <w:rtl/>
          <w:lang w:bidi="he-IL"/>
        </w:rPr>
        <w:t>מעבר לתעריפים קבועים במקום אחוזי הנחה פוטר את הבעיה של האוכלוסיה שזכאית להנחות על פי מבחן ההכנסה, אך מה בנוגע לאוכלוסיה שהכנסתה גבוהה מעט מעל קו העוני ובוחרת לגור באזורי ארנונה זולים בכדי להקטין את הוצאות הדיור שלה? כפי שצוין אוכלוסיה זו תחווה עלייה משמעותית בתעריף הארנונה שהיא תשלם ולכן יש לבנות מנגנון שמגן גם על שכבת האכלוסיה זו (</w:t>
      </w:r>
      <w:r w:rsidR="0023731D">
        <w:rPr>
          <w:rFonts w:hint="cs"/>
          <w:rtl/>
          <w:lang w:bidi="he-IL"/>
        </w:rPr>
        <w:t>הפלח התחתון של ה</w:t>
      </w:r>
      <w:r>
        <w:rPr>
          <w:rFonts w:hint="cs"/>
          <w:rtl/>
          <w:lang w:bidi="he-IL"/>
        </w:rPr>
        <w:t>אוכלוסיה בדירוג סוציואקונומי 3).</w:t>
      </w:r>
    </w:p>
    <w:p w:rsidR="00EE1E7B" w:rsidRDefault="00EE1E7B" w:rsidP="00EE1E7B">
      <w:pPr>
        <w:bidi/>
        <w:rPr>
          <w:rtl/>
          <w:lang w:bidi="he-IL"/>
        </w:rPr>
      </w:pPr>
      <w:r>
        <w:rPr>
          <w:rFonts w:hint="cs"/>
          <w:rtl/>
          <w:lang w:bidi="he-IL"/>
        </w:rPr>
        <w:t xml:space="preserve">על מנת להגן על אוכלוסיה זו </w:t>
      </w:r>
      <w:r w:rsidR="009B4D1D">
        <w:rPr>
          <w:rFonts w:hint="cs"/>
          <w:rtl/>
          <w:lang w:bidi="he-IL"/>
        </w:rPr>
        <w:t xml:space="preserve">מוצע הפתרון הבא: יוגדר תחום מבחן הכנסה נוסף אשר על פי נוסחת ההנחות תואם להכנסה לנפש אשר מזכה ב-20% הנחה. האוכלוסיה אשר זכאית להנחה לפי מבחן הכנסה זה תשלם את תעריף הארנונה המינימלי הנהוג בחוק </w:t>
      </w:r>
      <w:r w:rsidR="009B4D1D">
        <w:rPr>
          <w:rtl/>
          <w:lang w:bidi="he-IL"/>
        </w:rPr>
        <w:t>–</w:t>
      </w:r>
      <w:r w:rsidR="009B4D1D">
        <w:rPr>
          <w:rFonts w:hint="cs"/>
          <w:rtl/>
          <w:lang w:bidi="he-IL"/>
        </w:rPr>
        <w:t xml:space="preserve"> 33.4 ש"ח למ"ר לשנה (לפי תעריפי 2016).</w:t>
      </w:r>
    </w:p>
    <w:p w:rsidR="00E37534" w:rsidRDefault="00E37534" w:rsidP="00E37534">
      <w:pPr>
        <w:pStyle w:val="Heading1"/>
        <w:bidi/>
        <w:rPr>
          <w:rtl/>
          <w:lang w:bidi="he-IL"/>
        </w:rPr>
      </w:pPr>
      <w:r>
        <w:rPr>
          <w:rFonts w:hint="cs"/>
          <w:rtl/>
          <w:lang w:bidi="he-IL"/>
        </w:rPr>
        <w:t>סיכום</w:t>
      </w:r>
    </w:p>
    <w:p w:rsidR="00E37534" w:rsidRDefault="00E37534" w:rsidP="00E37534">
      <w:pPr>
        <w:bidi/>
        <w:rPr>
          <w:rtl/>
          <w:lang w:bidi="he-IL"/>
        </w:rPr>
      </w:pPr>
      <w:r>
        <w:rPr>
          <w:rFonts w:hint="cs"/>
          <w:rtl/>
          <w:lang w:bidi="he-IL"/>
        </w:rPr>
        <w:t>קיומם של אזורי ארנונה שונים בתחומי הרשות מאפשר התאמה של מדרגות תעריף הארנונה לחוסנה הכלכלי של האוכלוסיה, אם זאת, במידה ויוחלט לבטל את אזורי הארנונה ולעבור לאזור אחיד בכל רחבי הרשות, יש לבצע תיקונים במבנה ההנחות מארנונה על פי מבחן הכנסה באופן שיקבע את התעריפים לתשלום, כמו גם ירחיב את מבחן ההכנסה כך שיגן גם על אוכלוסיה שהכנסה גבולית לקו העוני.</w:t>
      </w:r>
    </w:p>
    <w:p w:rsidR="00E37534" w:rsidRDefault="00E37534" w:rsidP="00E37534">
      <w:pPr>
        <w:bidi/>
        <w:rPr>
          <w:rtl/>
          <w:lang w:bidi="he-IL"/>
        </w:rPr>
      </w:pPr>
      <w:r>
        <w:rPr>
          <w:rFonts w:hint="cs"/>
          <w:rtl/>
          <w:lang w:bidi="he-IL"/>
        </w:rPr>
        <w:t>טבלת ההנחות המעודכנת:</w:t>
      </w:r>
    </w:p>
    <w:tbl>
      <w:tblPr>
        <w:bidiVisual/>
        <w:tblW w:w="9126" w:type="dxa"/>
        <w:jc w:val="center"/>
        <w:tblInd w:w="98" w:type="dxa"/>
        <w:tblLook w:val="04A0"/>
      </w:tblPr>
      <w:tblGrid>
        <w:gridCol w:w="1500"/>
        <w:gridCol w:w="1909"/>
        <w:gridCol w:w="1904"/>
        <w:gridCol w:w="1904"/>
        <w:gridCol w:w="1909"/>
      </w:tblGrid>
      <w:tr w:rsidR="002724B5" w:rsidRPr="002724B5" w:rsidTr="00EE4CAD">
        <w:trPr>
          <w:trHeight w:val="315"/>
          <w:jc w:val="center"/>
        </w:trPr>
        <w:tc>
          <w:tcPr>
            <w:tcW w:w="1500" w:type="dxa"/>
            <w:tcBorders>
              <w:top w:val="single" w:sz="8" w:space="0" w:color="auto"/>
              <w:left w:val="single" w:sz="8" w:space="0" w:color="auto"/>
              <w:bottom w:val="nil"/>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 </w:t>
            </w:r>
          </w:p>
        </w:tc>
        <w:tc>
          <w:tcPr>
            <w:tcW w:w="7626" w:type="dxa"/>
            <w:gridSpan w:val="4"/>
            <w:tcBorders>
              <w:top w:val="single" w:sz="8" w:space="0" w:color="auto"/>
              <w:left w:val="single" w:sz="8" w:space="0" w:color="auto"/>
              <w:bottom w:val="nil"/>
              <w:right w:val="single" w:sz="8" w:space="0" w:color="000000"/>
            </w:tcBorders>
            <w:shd w:val="clear" w:color="auto" w:fill="auto"/>
            <w:noWrap/>
            <w:vAlign w:val="center"/>
            <w:hideMark/>
          </w:tcPr>
          <w:p w:rsidR="002724B5" w:rsidRPr="002724B5" w:rsidRDefault="002724B5" w:rsidP="002724B5">
            <w:pPr>
              <w:bidi/>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תעריף ארנונה בהתאם למבחו הכנסה כוללת (ש"ח למ"ר לשנה)</w:t>
            </w:r>
          </w:p>
        </w:tc>
      </w:tr>
      <w:tr w:rsidR="002724B5" w:rsidRPr="002724B5" w:rsidTr="00EE4CAD">
        <w:trPr>
          <w:trHeight w:val="315"/>
          <w:jc w:val="center"/>
        </w:trPr>
        <w:tc>
          <w:tcPr>
            <w:tcW w:w="1500" w:type="dxa"/>
            <w:tcBorders>
              <w:top w:val="single" w:sz="8" w:space="0" w:color="auto"/>
              <w:left w:val="single" w:sz="8" w:space="0" w:color="auto"/>
              <w:bottom w:val="single" w:sz="8"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מס' נפשות</w:t>
            </w:r>
          </w:p>
        </w:tc>
        <w:tc>
          <w:tcPr>
            <w:tcW w:w="1909" w:type="dxa"/>
            <w:tcBorders>
              <w:top w:val="single" w:sz="8" w:space="0" w:color="auto"/>
              <w:left w:val="single" w:sz="8" w:space="0" w:color="auto"/>
              <w:bottom w:val="single" w:sz="8" w:space="0" w:color="auto"/>
              <w:right w:val="single" w:sz="4"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33.4</w:t>
            </w:r>
          </w:p>
        </w:tc>
        <w:tc>
          <w:tcPr>
            <w:tcW w:w="1904" w:type="dxa"/>
            <w:tcBorders>
              <w:top w:val="single" w:sz="8" w:space="0" w:color="auto"/>
              <w:left w:val="single" w:sz="4" w:space="0" w:color="auto"/>
              <w:bottom w:val="single" w:sz="8" w:space="0" w:color="auto"/>
              <w:right w:val="single" w:sz="4"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22.1</w:t>
            </w:r>
          </w:p>
        </w:tc>
        <w:tc>
          <w:tcPr>
            <w:tcW w:w="1904" w:type="dxa"/>
            <w:tcBorders>
              <w:top w:val="single" w:sz="8" w:space="0" w:color="auto"/>
              <w:left w:val="single" w:sz="4" w:space="0" w:color="auto"/>
              <w:bottom w:val="single" w:sz="8" w:space="0" w:color="auto"/>
              <w:right w:val="single" w:sz="4"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14.7</w:t>
            </w:r>
          </w:p>
        </w:tc>
        <w:tc>
          <w:tcPr>
            <w:tcW w:w="1909" w:type="dxa"/>
            <w:tcBorders>
              <w:top w:val="single" w:sz="8" w:space="0" w:color="auto"/>
              <w:left w:val="single" w:sz="4" w:space="0" w:color="auto"/>
              <w:bottom w:val="single" w:sz="8" w:space="0" w:color="auto"/>
              <w:right w:val="single" w:sz="8"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7.4</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1</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3,918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3,513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3,108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2,703 </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2</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5,878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5,270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4,662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4,054 </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3</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6,818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6,113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5,408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4,703 </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4</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7,760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6,957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6,154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5,351 </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5</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9,472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8,487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7,502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6,517 </w:t>
            </w:r>
          </w:p>
        </w:tc>
      </w:tr>
      <w:tr w:rsidR="002724B5" w:rsidRPr="002724B5" w:rsidTr="00EE4CAD">
        <w:trPr>
          <w:trHeight w:val="315"/>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6</w:t>
            </w:r>
          </w:p>
        </w:tc>
        <w:tc>
          <w:tcPr>
            <w:tcW w:w="1909" w:type="dxa"/>
            <w:tcBorders>
              <w:top w:val="nil"/>
              <w:left w:val="single" w:sz="8" w:space="0" w:color="auto"/>
              <w:bottom w:val="nil"/>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11,224 </w:t>
            </w:r>
          </w:p>
        </w:tc>
        <w:tc>
          <w:tcPr>
            <w:tcW w:w="1904" w:type="dxa"/>
            <w:tcBorders>
              <w:top w:val="nil"/>
              <w:left w:val="single" w:sz="4" w:space="0" w:color="auto"/>
              <w:bottom w:val="nil"/>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10,097 </w:t>
            </w:r>
          </w:p>
        </w:tc>
        <w:tc>
          <w:tcPr>
            <w:tcW w:w="1904" w:type="dxa"/>
            <w:tcBorders>
              <w:top w:val="nil"/>
              <w:left w:val="single" w:sz="4" w:space="0" w:color="auto"/>
              <w:bottom w:val="nil"/>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8,970 </w:t>
            </w:r>
          </w:p>
        </w:tc>
        <w:tc>
          <w:tcPr>
            <w:tcW w:w="1909" w:type="dxa"/>
            <w:tcBorders>
              <w:top w:val="nil"/>
              <w:left w:val="single" w:sz="4" w:space="0" w:color="auto"/>
              <w:bottom w:val="nil"/>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7,843 </w:t>
            </w:r>
          </w:p>
        </w:tc>
      </w:tr>
      <w:tr w:rsidR="002724B5" w:rsidRPr="002724B5" w:rsidTr="00EE4CAD">
        <w:trPr>
          <w:trHeight w:val="315"/>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 </w:t>
            </w:r>
          </w:p>
        </w:tc>
        <w:tc>
          <w:tcPr>
            <w:tcW w:w="1909" w:type="dxa"/>
            <w:tcBorders>
              <w:top w:val="single" w:sz="8" w:space="0" w:color="auto"/>
              <w:left w:val="single" w:sz="8" w:space="0" w:color="auto"/>
              <w:bottom w:val="single" w:sz="8" w:space="0" w:color="auto"/>
              <w:right w:val="single" w:sz="4" w:space="0" w:color="auto"/>
            </w:tcBorders>
            <w:shd w:val="clear" w:color="000000" w:fill="D8D8D8"/>
            <w:noWrap/>
            <w:vAlign w:val="center"/>
            <w:hideMark/>
          </w:tcPr>
          <w:p w:rsidR="002724B5" w:rsidRPr="002724B5" w:rsidRDefault="001D0589" w:rsidP="002724B5">
            <w:pPr>
              <w:spacing w:after="0" w:line="240" w:lineRule="auto"/>
              <w:jc w:val="center"/>
              <w:rPr>
                <w:rFonts w:ascii="Calibri" w:eastAsia="Times New Roman" w:hAnsi="Calibri" w:cs="Times New Roman"/>
                <w:color w:val="000000"/>
                <w:lang w:bidi="he-IL"/>
              </w:rPr>
            </w:pPr>
            <w:r>
              <w:rPr>
                <w:rFonts w:ascii="Calibri" w:eastAsia="Times New Roman" w:hAnsi="Calibri" w:cs="Times New Roman" w:hint="cs"/>
                <w:color w:val="000000"/>
                <w:rtl/>
                <w:lang w:bidi="he-IL"/>
              </w:rPr>
              <w:t>*</w:t>
            </w:r>
            <w:r w:rsidR="002724B5" w:rsidRPr="002724B5">
              <w:rPr>
                <w:rFonts w:ascii="Calibri" w:eastAsia="Times New Roman" w:hAnsi="Calibri" w:cs="Times New Roman"/>
                <w:color w:val="000000"/>
                <w:lang w:bidi="he-IL"/>
              </w:rPr>
              <w:t>29.7</w:t>
            </w:r>
          </w:p>
        </w:tc>
        <w:tc>
          <w:tcPr>
            <w:tcW w:w="1904" w:type="dxa"/>
            <w:tcBorders>
              <w:top w:val="single" w:sz="8" w:space="0" w:color="auto"/>
              <w:left w:val="single" w:sz="4" w:space="0" w:color="auto"/>
              <w:bottom w:val="single" w:sz="8" w:space="0" w:color="auto"/>
              <w:right w:val="single" w:sz="4"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18.4</w:t>
            </w:r>
          </w:p>
        </w:tc>
        <w:tc>
          <w:tcPr>
            <w:tcW w:w="1904" w:type="dxa"/>
            <w:tcBorders>
              <w:top w:val="single" w:sz="8" w:space="0" w:color="auto"/>
              <w:left w:val="single" w:sz="4" w:space="0" w:color="auto"/>
              <w:bottom w:val="single" w:sz="8" w:space="0" w:color="auto"/>
              <w:right w:val="single" w:sz="4"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11.1</w:t>
            </w:r>
          </w:p>
        </w:tc>
        <w:tc>
          <w:tcPr>
            <w:tcW w:w="1909" w:type="dxa"/>
            <w:tcBorders>
              <w:top w:val="single" w:sz="8" w:space="0" w:color="auto"/>
              <w:left w:val="single" w:sz="4" w:space="0" w:color="auto"/>
              <w:bottom w:val="single" w:sz="8" w:space="0" w:color="auto"/>
              <w:right w:val="single" w:sz="8" w:space="0" w:color="auto"/>
            </w:tcBorders>
            <w:shd w:val="clear" w:color="000000" w:fill="D8D8D8"/>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3.7</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7</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12,797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11,474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10,150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8,826 </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8</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14,527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13,024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11,521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10,019 </w:t>
            </w:r>
          </w:p>
        </w:tc>
      </w:tr>
      <w:tr w:rsidR="002724B5" w:rsidRPr="002724B5" w:rsidTr="00EE4CAD">
        <w:trPr>
          <w:trHeight w:val="300"/>
          <w:jc w:val="center"/>
        </w:trPr>
        <w:tc>
          <w:tcPr>
            <w:tcW w:w="1500" w:type="dxa"/>
            <w:tcBorders>
              <w:top w:val="nil"/>
              <w:left w:val="single" w:sz="8" w:space="0" w:color="auto"/>
              <w:bottom w:val="single" w:sz="4"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9</w:t>
            </w:r>
          </w:p>
        </w:tc>
        <w:tc>
          <w:tcPr>
            <w:tcW w:w="1909" w:type="dxa"/>
            <w:tcBorders>
              <w:top w:val="nil"/>
              <w:left w:val="single" w:sz="8"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w:t>
            </w:r>
            <w:r w:rsidRPr="002724B5">
              <w:rPr>
                <w:rFonts w:ascii="Calibri" w:eastAsia="Times New Roman" w:hAnsi="Calibri" w:cs="Times New Roman"/>
                <w:color w:val="000000"/>
                <w:lang w:bidi="he-IL"/>
              </w:rPr>
              <w:lastRenderedPageBreak/>
              <w:t xml:space="preserve">16,343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lastRenderedPageBreak/>
              <w:t xml:space="preserve">                         </w:t>
            </w:r>
            <w:r w:rsidRPr="002724B5">
              <w:rPr>
                <w:rFonts w:ascii="Calibri" w:eastAsia="Times New Roman" w:hAnsi="Calibri" w:cs="Times New Roman"/>
                <w:color w:val="000000"/>
                <w:lang w:bidi="he-IL"/>
              </w:rPr>
              <w:lastRenderedPageBreak/>
              <w:t xml:space="preserve">14,652 </w:t>
            </w:r>
          </w:p>
        </w:tc>
        <w:tc>
          <w:tcPr>
            <w:tcW w:w="1904" w:type="dxa"/>
            <w:tcBorders>
              <w:top w:val="nil"/>
              <w:left w:val="single" w:sz="4" w:space="0" w:color="auto"/>
              <w:bottom w:val="single" w:sz="4"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lastRenderedPageBreak/>
              <w:t xml:space="preserve">                         </w:t>
            </w:r>
            <w:r w:rsidRPr="002724B5">
              <w:rPr>
                <w:rFonts w:ascii="Calibri" w:eastAsia="Times New Roman" w:hAnsi="Calibri" w:cs="Times New Roman"/>
                <w:color w:val="000000"/>
                <w:lang w:bidi="he-IL"/>
              </w:rPr>
              <w:lastRenderedPageBreak/>
              <w:t xml:space="preserve">12,962 </w:t>
            </w:r>
          </w:p>
        </w:tc>
        <w:tc>
          <w:tcPr>
            <w:tcW w:w="1909" w:type="dxa"/>
            <w:tcBorders>
              <w:top w:val="nil"/>
              <w:left w:val="single" w:sz="4" w:space="0" w:color="auto"/>
              <w:bottom w:val="single" w:sz="4"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lastRenderedPageBreak/>
              <w:t xml:space="preserve">                         </w:t>
            </w:r>
            <w:r w:rsidRPr="002724B5">
              <w:rPr>
                <w:rFonts w:ascii="Calibri" w:eastAsia="Times New Roman" w:hAnsi="Calibri" w:cs="Times New Roman"/>
                <w:color w:val="000000"/>
                <w:lang w:bidi="he-IL"/>
              </w:rPr>
              <w:lastRenderedPageBreak/>
              <w:t xml:space="preserve">11,271 </w:t>
            </w:r>
          </w:p>
        </w:tc>
      </w:tr>
      <w:tr w:rsidR="002724B5" w:rsidRPr="002724B5" w:rsidTr="00EE4CAD">
        <w:trPr>
          <w:trHeight w:val="315"/>
          <w:jc w:val="center"/>
        </w:trPr>
        <w:tc>
          <w:tcPr>
            <w:tcW w:w="1500" w:type="dxa"/>
            <w:tcBorders>
              <w:top w:val="nil"/>
              <w:left w:val="single" w:sz="8" w:space="0" w:color="auto"/>
              <w:bottom w:val="single" w:sz="8" w:space="0" w:color="auto"/>
              <w:right w:val="nil"/>
            </w:tcBorders>
            <w:shd w:val="clear" w:color="auto" w:fill="auto"/>
            <w:noWrap/>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lastRenderedPageBreak/>
              <w:t>10</w:t>
            </w:r>
          </w:p>
        </w:tc>
        <w:tc>
          <w:tcPr>
            <w:tcW w:w="1909" w:type="dxa"/>
            <w:tcBorders>
              <w:top w:val="nil"/>
              <w:left w:val="single" w:sz="8" w:space="0" w:color="auto"/>
              <w:bottom w:val="single" w:sz="8"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18,158 </w:t>
            </w:r>
          </w:p>
        </w:tc>
        <w:tc>
          <w:tcPr>
            <w:tcW w:w="1904" w:type="dxa"/>
            <w:tcBorders>
              <w:top w:val="nil"/>
              <w:left w:val="single" w:sz="4" w:space="0" w:color="auto"/>
              <w:bottom w:val="single" w:sz="8"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16,280 </w:t>
            </w:r>
          </w:p>
        </w:tc>
        <w:tc>
          <w:tcPr>
            <w:tcW w:w="1904" w:type="dxa"/>
            <w:tcBorders>
              <w:top w:val="nil"/>
              <w:left w:val="single" w:sz="4" w:space="0" w:color="auto"/>
              <w:bottom w:val="single" w:sz="8"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14,402 </w:t>
            </w:r>
          </w:p>
        </w:tc>
        <w:tc>
          <w:tcPr>
            <w:tcW w:w="1909" w:type="dxa"/>
            <w:tcBorders>
              <w:top w:val="nil"/>
              <w:left w:val="single" w:sz="4" w:space="0" w:color="auto"/>
              <w:bottom w:val="single" w:sz="8"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12,523 </w:t>
            </w:r>
          </w:p>
        </w:tc>
      </w:tr>
      <w:tr w:rsidR="002724B5" w:rsidRPr="002724B5" w:rsidTr="00EE4CAD">
        <w:trPr>
          <w:trHeight w:val="615"/>
          <w:jc w:val="center"/>
        </w:trPr>
        <w:tc>
          <w:tcPr>
            <w:tcW w:w="1500" w:type="dxa"/>
            <w:tcBorders>
              <w:top w:val="single" w:sz="4" w:space="0" w:color="auto"/>
              <w:left w:val="single" w:sz="8" w:space="0" w:color="auto"/>
              <w:bottom w:val="single" w:sz="8" w:space="0" w:color="auto"/>
              <w:right w:val="nil"/>
            </w:tcBorders>
            <w:shd w:val="clear" w:color="auto" w:fill="auto"/>
            <w:vAlign w:val="bottom"/>
            <w:hideMark/>
          </w:tcPr>
          <w:p w:rsidR="002724B5" w:rsidRPr="002724B5" w:rsidRDefault="002724B5" w:rsidP="002724B5">
            <w:pPr>
              <w:bidi/>
              <w:spacing w:after="0" w:line="240" w:lineRule="auto"/>
              <w:rPr>
                <w:rFonts w:ascii="Calibri" w:eastAsia="Times New Roman" w:hAnsi="Calibri" w:cs="Times New Roman"/>
                <w:color w:val="000000"/>
                <w:lang w:bidi="he-IL"/>
              </w:rPr>
            </w:pPr>
            <w:r w:rsidRPr="002724B5">
              <w:rPr>
                <w:rFonts w:ascii="Calibri" w:eastAsia="Times New Roman" w:hAnsi="Calibri" w:cs="Times New Roman"/>
                <w:color w:val="000000"/>
                <w:rtl/>
                <w:lang w:bidi="he-IL"/>
              </w:rPr>
              <w:t>תוספת הכנסה לכל נפש</w:t>
            </w:r>
          </w:p>
        </w:tc>
        <w:tc>
          <w:tcPr>
            <w:tcW w:w="190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1,816 </w:t>
            </w:r>
          </w:p>
        </w:tc>
        <w:tc>
          <w:tcPr>
            <w:tcW w:w="1904"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1,628 </w:t>
            </w:r>
          </w:p>
        </w:tc>
        <w:tc>
          <w:tcPr>
            <w:tcW w:w="1904"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1,440 </w:t>
            </w:r>
          </w:p>
        </w:tc>
        <w:tc>
          <w:tcPr>
            <w:tcW w:w="1909"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rsidR="002724B5" w:rsidRPr="002724B5" w:rsidRDefault="002724B5" w:rsidP="002724B5">
            <w:pPr>
              <w:spacing w:after="0" w:line="240" w:lineRule="auto"/>
              <w:jc w:val="center"/>
              <w:rPr>
                <w:rFonts w:ascii="Calibri" w:eastAsia="Times New Roman" w:hAnsi="Calibri" w:cs="Times New Roman"/>
                <w:color w:val="000000"/>
                <w:lang w:bidi="he-IL"/>
              </w:rPr>
            </w:pPr>
            <w:r w:rsidRPr="002724B5">
              <w:rPr>
                <w:rFonts w:ascii="Calibri" w:eastAsia="Times New Roman" w:hAnsi="Calibri" w:cs="Times New Roman"/>
                <w:color w:val="000000"/>
                <w:lang w:bidi="he-IL"/>
              </w:rPr>
              <w:t xml:space="preserve">                            1,252 </w:t>
            </w:r>
          </w:p>
        </w:tc>
      </w:tr>
    </w:tbl>
    <w:p w:rsidR="00E37534" w:rsidRPr="00EE4CAD" w:rsidRDefault="001D0589" w:rsidP="00EE4CAD">
      <w:pPr>
        <w:pStyle w:val="Caption"/>
        <w:bidi/>
        <w:jc w:val="center"/>
        <w:rPr>
          <w:color w:val="auto"/>
          <w:rtl/>
          <w:lang w:bidi="he-IL"/>
        </w:rPr>
      </w:pPr>
      <w:r w:rsidRPr="00EE4CAD">
        <w:rPr>
          <w:rFonts w:hint="cs"/>
          <w:b w:val="0"/>
          <w:bCs w:val="0"/>
          <w:color w:val="auto"/>
          <w:rtl/>
          <w:lang w:bidi="he-IL"/>
        </w:rPr>
        <w:t>* - מדובר על יצירת הנחה מסויימת לאוכלוסיה שהיום לא מקבלת הנחה (משלמת תעריף מינימום מלא)</w:t>
      </w:r>
      <w:r w:rsidR="00EE4CAD" w:rsidRPr="00EE4CAD">
        <w:rPr>
          <w:color w:val="auto"/>
          <w:rtl/>
          <w:lang w:bidi="he-IL"/>
        </w:rPr>
        <w:br/>
      </w:r>
      <w:r w:rsidR="00EE4CAD" w:rsidRPr="00EE4CAD">
        <w:rPr>
          <w:rFonts w:hint="cs"/>
          <w:color w:val="auto"/>
          <w:sz w:val="20"/>
          <w:szCs w:val="20"/>
          <w:u w:val="single"/>
          <w:rtl/>
          <w:lang w:bidi="he-IL"/>
        </w:rPr>
        <w:t>טבלה</w:t>
      </w:r>
      <w:r w:rsidR="00EE4CAD" w:rsidRPr="00EE4CAD">
        <w:rPr>
          <w:color w:val="auto"/>
          <w:sz w:val="20"/>
          <w:szCs w:val="20"/>
          <w:u w:val="single"/>
          <w:rtl/>
          <w:lang w:bidi="he-IL"/>
        </w:rPr>
        <w:t xml:space="preserve"> </w:t>
      </w:r>
      <w:r w:rsidR="00EE4CAD" w:rsidRPr="00EE4CAD">
        <w:rPr>
          <w:color w:val="auto"/>
          <w:sz w:val="20"/>
          <w:szCs w:val="20"/>
          <w:u w:val="single"/>
          <w:rtl/>
          <w:lang w:bidi="he-IL"/>
        </w:rPr>
        <w:fldChar w:fldCharType="begin"/>
      </w:r>
      <w:r w:rsidR="00EE4CAD" w:rsidRPr="00EE4CAD">
        <w:rPr>
          <w:color w:val="auto"/>
          <w:sz w:val="20"/>
          <w:szCs w:val="20"/>
          <w:u w:val="single"/>
          <w:rtl/>
          <w:lang w:bidi="he-IL"/>
        </w:rPr>
        <w:instrText xml:space="preserve"> </w:instrText>
      </w:r>
      <w:r w:rsidR="00EE4CAD" w:rsidRPr="00EE4CAD">
        <w:rPr>
          <w:color w:val="auto"/>
          <w:sz w:val="20"/>
          <w:szCs w:val="20"/>
          <w:u w:val="single"/>
          <w:lang w:bidi="he-IL"/>
        </w:rPr>
        <w:instrText>SEQ</w:instrText>
      </w:r>
      <w:r w:rsidR="00EE4CAD" w:rsidRPr="00EE4CAD">
        <w:rPr>
          <w:color w:val="auto"/>
          <w:sz w:val="20"/>
          <w:szCs w:val="20"/>
          <w:u w:val="single"/>
          <w:rtl/>
          <w:lang w:bidi="he-IL"/>
        </w:rPr>
        <w:instrText xml:space="preserve"> טבלה \* </w:instrText>
      </w:r>
      <w:r w:rsidR="00EE4CAD" w:rsidRPr="00EE4CAD">
        <w:rPr>
          <w:color w:val="auto"/>
          <w:sz w:val="20"/>
          <w:szCs w:val="20"/>
          <w:u w:val="single"/>
          <w:lang w:bidi="he-IL"/>
        </w:rPr>
        <w:instrText>ARABIC</w:instrText>
      </w:r>
      <w:r w:rsidR="00EE4CAD" w:rsidRPr="00EE4CAD">
        <w:rPr>
          <w:color w:val="auto"/>
          <w:sz w:val="20"/>
          <w:szCs w:val="20"/>
          <w:u w:val="single"/>
          <w:rtl/>
          <w:lang w:bidi="he-IL"/>
        </w:rPr>
        <w:instrText xml:space="preserve"> </w:instrText>
      </w:r>
      <w:r w:rsidR="00EE4CAD" w:rsidRPr="00EE4CAD">
        <w:rPr>
          <w:color w:val="auto"/>
          <w:sz w:val="20"/>
          <w:szCs w:val="20"/>
          <w:u w:val="single"/>
          <w:rtl/>
          <w:lang w:bidi="he-IL"/>
        </w:rPr>
        <w:fldChar w:fldCharType="separate"/>
      </w:r>
      <w:r w:rsidR="00EE4CAD" w:rsidRPr="00EE4CAD">
        <w:rPr>
          <w:noProof/>
          <w:color w:val="auto"/>
          <w:sz w:val="20"/>
          <w:szCs w:val="20"/>
          <w:u w:val="single"/>
          <w:rtl/>
          <w:lang w:bidi="he-IL"/>
        </w:rPr>
        <w:t>3</w:t>
      </w:r>
      <w:r w:rsidR="00EE4CAD" w:rsidRPr="00EE4CAD">
        <w:rPr>
          <w:color w:val="auto"/>
          <w:sz w:val="20"/>
          <w:szCs w:val="20"/>
          <w:u w:val="single"/>
          <w:rtl/>
          <w:lang w:bidi="he-IL"/>
        </w:rPr>
        <w:fldChar w:fldCharType="end"/>
      </w:r>
      <w:r w:rsidR="00EE4CAD" w:rsidRPr="00EE4CAD">
        <w:rPr>
          <w:noProof/>
          <w:color w:val="auto"/>
          <w:sz w:val="20"/>
          <w:szCs w:val="20"/>
          <w:u w:val="single"/>
          <w:rtl/>
          <w:lang w:bidi="he-IL"/>
        </w:rPr>
        <w:t xml:space="preserve"> </w:t>
      </w:r>
      <w:r w:rsidR="00EE4CAD" w:rsidRPr="00EE4CAD">
        <w:rPr>
          <w:rFonts w:hint="cs"/>
          <w:noProof/>
          <w:color w:val="auto"/>
          <w:sz w:val="20"/>
          <w:szCs w:val="20"/>
          <w:u w:val="single"/>
          <w:rtl/>
          <w:lang w:bidi="he-IL"/>
        </w:rPr>
        <w:t>- טבלת תעריפי ארנונה לפי מבחן הכנסה</w:t>
      </w:r>
    </w:p>
    <w:sectPr w:rsidR="00E37534" w:rsidRPr="00EE4CAD" w:rsidSect="00D06EA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D1C" w:rsidRDefault="000D5D1C" w:rsidP="002E1ACA">
      <w:pPr>
        <w:spacing w:after="0" w:line="240" w:lineRule="auto"/>
      </w:pPr>
      <w:r>
        <w:separator/>
      </w:r>
    </w:p>
  </w:endnote>
  <w:endnote w:type="continuationSeparator" w:id="0">
    <w:p w:rsidR="000D5D1C" w:rsidRDefault="000D5D1C" w:rsidP="002E1A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D1C" w:rsidRDefault="000D5D1C" w:rsidP="002E1ACA">
      <w:pPr>
        <w:spacing w:after="0" w:line="240" w:lineRule="auto"/>
      </w:pPr>
      <w:r>
        <w:separator/>
      </w:r>
    </w:p>
  </w:footnote>
  <w:footnote w:type="continuationSeparator" w:id="0">
    <w:p w:rsidR="000D5D1C" w:rsidRDefault="000D5D1C" w:rsidP="002E1ACA">
      <w:pPr>
        <w:spacing w:after="0" w:line="240" w:lineRule="auto"/>
      </w:pPr>
      <w:r>
        <w:continuationSeparator/>
      </w:r>
    </w:p>
  </w:footnote>
  <w:footnote w:id="1">
    <w:p w:rsidR="002E1ACA" w:rsidRDefault="002E1ACA" w:rsidP="002E1ACA">
      <w:pPr>
        <w:pStyle w:val="FootnoteText"/>
        <w:bidi/>
        <w:rPr>
          <w:lang w:bidi="he-IL"/>
        </w:rPr>
      </w:pPr>
      <w:r>
        <w:rPr>
          <w:rStyle w:val="FootnoteReference"/>
        </w:rPr>
        <w:footnoteRef/>
      </w:r>
      <w:r>
        <w:t xml:space="preserve"> </w:t>
      </w:r>
      <w:r>
        <w:rPr>
          <w:lang w:bidi="he-IL"/>
        </w:rPr>
        <w:t xml:space="preserve"> </w:t>
      </w:r>
      <w:r>
        <w:rPr>
          <w:rFonts w:hint="cs"/>
          <w:rtl/>
          <w:lang w:bidi="he-IL"/>
        </w:rPr>
        <w:t xml:space="preserve"> העדכון זהה לדירות יקרות וזולות כאחד ולכן אין אפשרות לבצע תיקונים שיתנו הנחות לתושבי השכונות החלשות בהן הנכסים זולים יותר</w:t>
      </w:r>
    </w:p>
  </w:footnote>
  <w:footnote w:id="2">
    <w:p w:rsidR="007F2914" w:rsidRDefault="007F2914" w:rsidP="007F2914">
      <w:pPr>
        <w:pStyle w:val="FootnoteText"/>
        <w:bidi/>
        <w:rPr>
          <w:rtl/>
          <w:lang w:bidi="he-IL"/>
        </w:rPr>
      </w:pPr>
      <w:r>
        <w:rPr>
          <w:rStyle w:val="FootnoteReference"/>
        </w:rPr>
        <w:footnoteRef/>
      </w:r>
      <w:r>
        <w:t xml:space="preserve"> </w:t>
      </w:r>
      <w:r>
        <w:rPr>
          <w:rFonts w:hint="cs"/>
          <w:rtl/>
          <w:lang w:bidi="he-IL"/>
        </w:rPr>
        <w:t xml:space="preserve"> חישוב זה אינו פשוט כלל וקיימת הנחה מובנית במסמך העקרונות כי חישוב זה יבוצע לאחר עדכון הקריטריונים האחידים ולאורם. ביצוע החישוב לפי אזור ארנונה אחיד בעיקר יקל על החישוב.</w:t>
      </w:r>
    </w:p>
  </w:footnote>
  <w:footnote w:id="3">
    <w:p w:rsidR="009924DE" w:rsidRPr="009924DE" w:rsidRDefault="009924DE" w:rsidP="009924DE">
      <w:pPr>
        <w:pStyle w:val="FootnoteText"/>
        <w:bidi/>
        <w:rPr>
          <w:rtl/>
          <w:lang w:bidi="he-IL"/>
        </w:rPr>
      </w:pPr>
      <w:r>
        <w:rPr>
          <w:rStyle w:val="FootnoteReference"/>
        </w:rPr>
        <w:footnoteRef/>
      </w:r>
      <w:r>
        <w:t xml:space="preserve"> </w:t>
      </w:r>
      <w:r>
        <w:rPr>
          <w:rFonts w:hint="cs"/>
          <w:rtl/>
          <w:lang w:bidi="he-IL"/>
        </w:rPr>
        <w:t xml:space="preserve"> הערכה </w:t>
      </w:r>
      <w:r>
        <w:rPr>
          <w:rtl/>
          <w:lang w:bidi="he-IL"/>
        </w:rPr>
        <w:t>–</w:t>
      </w:r>
      <w:r>
        <w:rPr>
          <w:rFonts w:hint="cs"/>
          <w:rtl/>
          <w:lang w:bidi="he-IL"/>
        </w:rPr>
        <w:t xml:space="preserve"> החלק התחתון של העשירון השלישי</w:t>
      </w:r>
    </w:p>
  </w:footnote>
  <w:footnote w:id="4">
    <w:p w:rsidR="00B77913" w:rsidRDefault="00B77913" w:rsidP="00B77913">
      <w:pPr>
        <w:pStyle w:val="FootnoteText"/>
        <w:bidi/>
        <w:rPr>
          <w:rtl/>
          <w:lang w:bidi="he-IL"/>
        </w:rPr>
      </w:pPr>
      <w:r>
        <w:rPr>
          <w:rStyle w:val="FootnoteReference"/>
        </w:rPr>
        <w:footnoteRef/>
      </w:r>
      <w:r>
        <w:t xml:space="preserve"> </w:t>
      </w:r>
      <w:r>
        <w:rPr>
          <w:rFonts w:hint="cs"/>
          <w:rtl/>
          <w:lang w:bidi="he-IL"/>
        </w:rPr>
        <w:t xml:space="preserve"> </w:t>
      </w:r>
      <w:r w:rsidR="00955ED4">
        <w:rPr>
          <w:rFonts w:hint="cs"/>
          <w:rtl/>
          <w:lang w:bidi="he-IL"/>
        </w:rPr>
        <w:t xml:space="preserve">סכום שנתי של  350-100 שקלים. </w:t>
      </w:r>
      <w:r>
        <w:rPr>
          <w:rFonts w:hint="cs"/>
          <w:rtl/>
          <w:lang w:bidi="he-IL"/>
        </w:rPr>
        <w:t xml:space="preserve">ההערכה מבוססת על חישוב אצבע </w:t>
      </w:r>
      <w:r>
        <w:rPr>
          <w:rtl/>
          <w:lang w:bidi="he-IL"/>
        </w:rPr>
        <w:t>–</w:t>
      </w:r>
      <w:r>
        <w:rPr>
          <w:rFonts w:hint="cs"/>
          <w:rtl/>
          <w:lang w:bidi="he-IL"/>
        </w:rPr>
        <w:t xml:space="preserve"> תוספת של 7-10 שקלים לתעריף המינימום, דירות בגודל 50-100 מ"ר.</w:t>
      </w:r>
    </w:p>
  </w:footnote>
  <w:footnote w:id="5">
    <w:p w:rsidR="00081D7B" w:rsidRDefault="00081D7B" w:rsidP="00081D7B">
      <w:pPr>
        <w:pStyle w:val="FootnoteText"/>
        <w:bidi/>
        <w:rPr>
          <w:rtl/>
          <w:lang w:bidi="he-IL"/>
        </w:rPr>
      </w:pPr>
      <w:r>
        <w:rPr>
          <w:rStyle w:val="FootnoteReference"/>
        </w:rPr>
        <w:footnoteRef/>
      </w:r>
      <w:r>
        <w:t xml:space="preserve"> </w:t>
      </w:r>
      <w:r>
        <w:rPr>
          <w:rFonts w:hint="cs"/>
          <w:rtl/>
          <w:lang w:bidi="he-IL"/>
        </w:rPr>
        <w:t xml:space="preserve"> הן הבדל באחוזים והן הפרש בערכים</w:t>
      </w:r>
    </w:p>
  </w:footnote>
  <w:footnote w:id="6">
    <w:p w:rsidR="0044667A" w:rsidRPr="0044667A" w:rsidRDefault="0044667A" w:rsidP="0044667A">
      <w:pPr>
        <w:pStyle w:val="FootnoteText"/>
        <w:bidi/>
        <w:rPr>
          <w:rtl/>
          <w:lang w:bidi="he-IL"/>
        </w:rPr>
      </w:pPr>
      <w:r>
        <w:rPr>
          <w:rStyle w:val="FootnoteReference"/>
        </w:rPr>
        <w:footnoteRef/>
      </w:r>
      <w:r>
        <w:t xml:space="preserve"> </w:t>
      </w:r>
      <w:r>
        <w:rPr>
          <w:rFonts w:hint="cs"/>
          <w:rtl/>
          <w:lang w:bidi="he-IL"/>
        </w:rPr>
        <w:t xml:space="preserve"> הביטוח הלאומי פירסם לראשונה את קו העוני הכמותי בשנת 2012, כשנה לאחר </w:t>
      </w:r>
      <w:hyperlink r:id="rId1" w:history="1">
        <w:r w:rsidRPr="0044667A">
          <w:rPr>
            <w:rStyle w:val="Hyperlink"/>
            <w:rFonts w:hint="cs"/>
            <w:rtl/>
            <w:lang w:bidi="he-IL"/>
          </w:rPr>
          <w:t>אימוץ מסקנות ועדת קהת ע"י שר הפנים אלי ישי</w:t>
        </w:r>
      </w:hyperlink>
      <w:r>
        <w:rPr>
          <w:rFonts w:hint="cs"/>
          <w:rtl/>
          <w:lang w:bidi="he-IL"/>
        </w:rPr>
        <w:t>.</w:t>
      </w:r>
    </w:p>
  </w:footnote>
  <w:footnote w:id="7">
    <w:p w:rsidR="00F03232" w:rsidRDefault="00F03232" w:rsidP="00A24D72">
      <w:pPr>
        <w:pStyle w:val="FootnoteText"/>
        <w:bidi/>
        <w:rPr>
          <w:rtl/>
          <w:lang w:bidi="he-IL"/>
        </w:rPr>
      </w:pPr>
      <w:r>
        <w:rPr>
          <w:rStyle w:val="FootnoteReference"/>
        </w:rPr>
        <w:footnoteRef/>
      </w:r>
      <w:r>
        <w:t xml:space="preserve"> </w:t>
      </w:r>
      <w:r>
        <w:rPr>
          <w:rFonts w:hint="cs"/>
          <w:rtl/>
          <w:lang w:bidi="he-IL"/>
        </w:rPr>
        <w:t xml:space="preserve"> </w:t>
      </w:r>
      <w:hyperlink r:id="rId2" w:history="1">
        <w:r w:rsidR="00A24D72" w:rsidRPr="00A24D72">
          <w:rPr>
            <w:rStyle w:val="Hyperlink"/>
            <w:rFonts w:hint="cs"/>
            <w:rtl/>
            <w:lang w:bidi="he-IL"/>
          </w:rPr>
          <w:t xml:space="preserve">לוח 5.27 - </w:t>
        </w:r>
        <w:r w:rsidR="00A24D72" w:rsidRPr="00A24D72">
          <w:rPr>
            <w:rStyle w:val="Hyperlink"/>
            <w:rFonts w:ascii="Arial" w:hAnsi="Arial" w:cs="Arial"/>
            <w:shd w:val="clear" w:color="auto" w:fill="FFFFFF"/>
            <w:rtl/>
          </w:rPr>
          <w:t>הכנסה והוצאה חודשית ממוצעת בעשירונים של משקי בית, לפי הכנסה נט</w:t>
        </w:r>
        <w:r w:rsidR="00A24D72" w:rsidRPr="00A24D72">
          <w:rPr>
            <w:rStyle w:val="Hyperlink"/>
            <w:rFonts w:ascii="Arial" w:hAnsi="Arial" w:cs="Arial"/>
            <w:shd w:val="clear" w:color="auto" w:fill="FFFFFF"/>
            <w:rtl/>
          </w:rPr>
          <w:t>ו</w:t>
        </w:r>
        <w:r w:rsidR="00A24D72" w:rsidRPr="00A24D72">
          <w:rPr>
            <w:rStyle w:val="Hyperlink"/>
            <w:rFonts w:ascii="Arial" w:hAnsi="Arial" w:cs="Arial"/>
            <w:shd w:val="clear" w:color="auto" w:fill="FFFFFF"/>
            <w:rtl/>
          </w:rPr>
          <w:t xml:space="preserve"> לנפש סטנדרטית</w:t>
        </w:r>
      </w:hyperlink>
    </w:p>
  </w:footnote>
  <w:footnote w:id="8">
    <w:p w:rsidR="0090574F" w:rsidRDefault="0090574F" w:rsidP="0090574F">
      <w:pPr>
        <w:pStyle w:val="FootnoteText"/>
        <w:bidi/>
        <w:rPr>
          <w:rtl/>
          <w:lang w:bidi="he-IL"/>
        </w:rPr>
      </w:pPr>
      <w:r>
        <w:rPr>
          <w:rStyle w:val="FootnoteReference"/>
        </w:rPr>
        <w:footnoteRef/>
      </w:r>
      <w:r>
        <w:t xml:space="preserve"> </w:t>
      </w:r>
      <w:r>
        <w:rPr>
          <w:rFonts w:hint="cs"/>
          <w:rtl/>
          <w:lang w:bidi="he-IL"/>
        </w:rPr>
        <w:t xml:space="preserve"> </w:t>
      </w:r>
      <w:hyperlink r:id="rId3" w:history="1">
        <w:r w:rsidRPr="0055272E">
          <w:rPr>
            <w:rStyle w:val="Hyperlink"/>
            <w:lang w:bidi="he-IL"/>
          </w:rPr>
          <w:t>http://www.btl.gov.il/Publications/oni_report/Pages/oni2013.aspx</w:t>
        </w:r>
      </w:hyperlink>
    </w:p>
  </w:footnote>
  <w:footnote w:id="9">
    <w:p w:rsidR="00AD4549" w:rsidRDefault="00AD4549" w:rsidP="00AD4549">
      <w:pPr>
        <w:pStyle w:val="FootnoteText"/>
        <w:bidi/>
        <w:rPr>
          <w:rtl/>
          <w:lang w:bidi="he-IL"/>
        </w:rPr>
      </w:pPr>
      <w:r>
        <w:rPr>
          <w:rStyle w:val="FootnoteReference"/>
        </w:rPr>
        <w:footnoteRef/>
      </w:r>
      <w:r>
        <w:t xml:space="preserve"> </w:t>
      </w:r>
      <w:r>
        <w:rPr>
          <w:rFonts w:hint="cs"/>
          <w:rtl/>
          <w:lang w:bidi="he-IL"/>
        </w:rPr>
        <w:t xml:space="preserve"> כשם שיש לי ביקורת על כך שקו העוני של הארנונה מבוסס על נוסחה (פולינום מסדר 3, מופיע בקבצי האקסל המצורפים), כך גם יש לי ביקורת על כך שקו העוני של הביטוח הלאומי מבוסס על נוסחה (נוסחת חזקה - </w:t>
      </w:r>
      <w:r w:rsidRPr="00A2238C">
        <w:rPr>
          <w:lang w:bidi="he-IL"/>
        </w:rPr>
        <w:t>y = 2981.1x</w:t>
      </w:r>
      <w:r w:rsidRPr="00A2238C">
        <w:rPr>
          <w:vertAlign w:val="superscript"/>
          <w:lang w:bidi="he-IL"/>
        </w:rPr>
        <w:t>-0.315</w:t>
      </w:r>
      <w:r>
        <w:rPr>
          <w:rFonts w:hint="cs"/>
          <w:rtl/>
          <w:lang w:bidi="he-IL"/>
        </w:rPr>
        <w:t xml:space="preserve"> כאשר </w:t>
      </w:r>
      <w:r>
        <w:rPr>
          <w:rFonts w:hint="cs"/>
          <w:lang w:bidi="he-IL"/>
        </w:rPr>
        <w:t>X</w:t>
      </w:r>
      <w:r>
        <w:rPr>
          <w:rFonts w:hint="cs"/>
          <w:rtl/>
          <w:lang w:bidi="he-IL"/>
        </w:rPr>
        <w:t xml:space="preserve"> הוא מספר הנפשות ו-</w:t>
      </w:r>
      <w:r>
        <w:rPr>
          <w:rFonts w:hint="cs"/>
          <w:lang w:bidi="he-IL"/>
        </w:rPr>
        <w:t>Y</w:t>
      </w:r>
      <w:r>
        <w:rPr>
          <w:rFonts w:hint="cs"/>
          <w:rtl/>
          <w:lang w:bidi="he-IL"/>
        </w:rPr>
        <w:t xml:space="preserve"> הוא הכנסה לנפש שמתחתיה התא המשפחתי מוגדר "עני"), אם זאת מטרת ההשוואה הנ"ל אינה הבעת ביקורת על קו העוני של הארנונה אלא בחינת תקפותו אל מול מדדים אחרים.</w:t>
      </w:r>
    </w:p>
  </w:footnote>
  <w:footnote w:id="10">
    <w:p w:rsidR="00AD4549" w:rsidRDefault="00AD4549" w:rsidP="00AD4549">
      <w:pPr>
        <w:pStyle w:val="FootnoteText"/>
        <w:bidi/>
        <w:rPr>
          <w:rtl/>
          <w:lang w:bidi="he-IL"/>
        </w:rPr>
      </w:pPr>
      <w:r>
        <w:rPr>
          <w:rStyle w:val="FootnoteReference"/>
        </w:rPr>
        <w:footnoteRef/>
      </w:r>
      <w:r>
        <w:t xml:space="preserve"> </w:t>
      </w:r>
      <w:r>
        <w:rPr>
          <w:rFonts w:hint="cs"/>
          <w:rtl/>
          <w:lang w:bidi="he-IL"/>
        </w:rPr>
        <w:t xml:space="preserve"> את הנחה זו ניתן להוכיח או להפריך מתוך נתוני קובץ הארנונה של הרשויות השונות, אך קובץ זה אינו זמין לציבור</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8F42D3"/>
    <w:multiLevelType w:val="hybridMultilevel"/>
    <w:tmpl w:val="F3CC7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575DA7"/>
    <w:multiLevelType w:val="hybridMultilevel"/>
    <w:tmpl w:val="D4185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D96328"/>
    <w:multiLevelType w:val="hybridMultilevel"/>
    <w:tmpl w:val="3A82E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BC60E1"/>
    <w:multiLevelType w:val="hybridMultilevel"/>
    <w:tmpl w:val="A64EA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2843AD"/>
    <w:rsid w:val="000062D4"/>
    <w:rsid w:val="000240C2"/>
    <w:rsid w:val="000620E8"/>
    <w:rsid w:val="00081D7B"/>
    <w:rsid w:val="000D5D1C"/>
    <w:rsid w:val="001912D2"/>
    <w:rsid w:val="001D0589"/>
    <w:rsid w:val="001E6186"/>
    <w:rsid w:val="0023731D"/>
    <w:rsid w:val="002724B5"/>
    <w:rsid w:val="002843AD"/>
    <w:rsid w:val="002D1112"/>
    <w:rsid w:val="002E1ACA"/>
    <w:rsid w:val="00315B54"/>
    <w:rsid w:val="00315D0B"/>
    <w:rsid w:val="003F6B70"/>
    <w:rsid w:val="0044667A"/>
    <w:rsid w:val="00460D68"/>
    <w:rsid w:val="00470EFC"/>
    <w:rsid w:val="004858DB"/>
    <w:rsid w:val="004977BB"/>
    <w:rsid w:val="004A7979"/>
    <w:rsid w:val="004D1C2F"/>
    <w:rsid w:val="004E7D2E"/>
    <w:rsid w:val="00527E85"/>
    <w:rsid w:val="00577A2D"/>
    <w:rsid w:val="00617149"/>
    <w:rsid w:val="00692F21"/>
    <w:rsid w:val="006A009A"/>
    <w:rsid w:val="007E156A"/>
    <w:rsid w:val="007E62B4"/>
    <w:rsid w:val="007F2914"/>
    <w:rsid w:val="00823D98"/>
    <w:rsid w:val="00825AD2"/>
    <w:rsid w:val="0090574F"/>
    <w:rsid w:val="00913237"/>
    <w:rsid w:val="0092644C"/>
    <w:rsid w:val="00955ED4"/>
    <w:rsid w:val="009924DE"/>
    <w:rsid w:val="009B4D1D"/>
    <w:rsid w:val="009D2DFC"/>
    <w:rsid w:val="009F7607"/>
    <w:rsid w:val="00A2238C"/>
    <w:rsid w:val="00A24D72"/>
    <w:rsid w:val="00A8611E"/>
    <w:rsid w:val="00AD4549"/>
    <w:rsid w:val="00AE3AFC"/>
    <w:rsid w:val="00B21507"/>
    <w:rsid w:val="00B66D63"/>
    <w:rsid w:val="00B71463"/>
    <w:rsid w:val="00B77913"/>
    <w:rsid w:val="00B7791E"/>
    <w:rsid w:val="00BE0401"/>
    <w:rsid w:val="00BF6E45"/>
    <w:rsid w:val="00C675DE"/>
    <w:rsid w:val="00D06EA8"/>
    <w:rsid w:val="00D114FB"/>
    <w:rsid w:val="00D64843"/>
    <w:rsid w:val="00D9051B"/>
    <w:rsid w:val="00E37534"/>
    <w:rsid w:val="00E53025"/>
    <w:rsid w:val="00E946C7"/>
    <w:rsid w:val="00EE1E7B"/>
    <w:rsid w:val="00EE4CAD"/>
    <w:rsid w:val="00EF7FD6"/>
    <w:rsid w:val="00F03232"/>
    <w:rsid w:val="00F9459C"/>
    <w:rsid w:val="00FD7887"/>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EA8"/>
  </w:style>
  <w:style w:type="paragraph" w:styleId="Heading1">
    <w:name w:val="heading 1"/>
    <w:basedOn w:val="Normal"/>
    <w:next w:val="Normal"/>
    <w:link w:val="Heading1Char"/>
    <w:uiPriority w:val="9"/>
    <w:qFormat/>
    <w:rsid w:val="002843A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81D7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843A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843AD"/>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2843AD"/>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843AD"/>
    <w:pPr>
      <w:ind w:left="720"/>
      <w:contextualSpacing/>
    </w:pPr>
  </w:style>
  <w:style w:type="paragraph" w:styleId="FootnoteText">
    <w:name w:val="footnote text"/>
    <w:basedOn w:val="Normal"/>
    <w:link w:val="FootnoteTextChar"/>
    <w:uiPriority w:val="99"/>
    <w:semiHidden/>
    <w:unhideWhenUsed/>
    <w:rsid w:val="002E1AC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1ACA"/>
    <w:rPr>
      <w:sz w:val="20"/>
      <w:szCs w:val="20"/>
    </w:rPr>
  </w:style>
  <w:style w:type="character" w:styleId="FootnoteReference">
    <w:name w:val="footnote reference"/>
    <w:basedOn w:val="DefaultParagraphFont"/>
    <w:uiPriority w:val="99"/>
    <w:semiHidden/>
    <w:unhideWhenUsed/>
    <w:rsid w:val="002E1ACA"/>
    <w:rPr>
      <w:vertAlign w:val="superscript"/>
    </w:rPr>
  </w:style>
  <w:style w:type="character" w:customStyle="1" w:styleId="Heading2Char">
    <w:name w:val="Heading 2 Char"/>
    <w:basedOn w:val="DefaultParagraphFont"/>
    <w:link w:val="Heading2"/>
    <w:uiPriority w:val="9"/>
    <w:rsid w:val="00081D7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1912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2D2"/>
    <w:rPr>
      <w:rFonts w:ascii="Tahoma" w:hAnsi="Tahoma" w:cs="Tahoma"/>
      <w:sz w:val="16"/>
      <w:szCs w:val="16"/>
    </w:rPr>
  </w:style>
  <w:style w:type="character" w:styleId="Hyperlink">
    <w:name w:val="Hyperlink"/>
    <w:basedOn w:val="DefaultParagraphFont"/>
    <w:uiPriority w:val="99"/>
    <w:unhideWhenUsed/>
    <w:rsid w:val="0090574F"/>
    <w:rPr>
      <w:color w:val="0000FF" w:themeColor="hyperlink"/>
      <w:u w:val="single"/>
    </w:rPr>
  </w:style>
  <w:style w:type="character" w:styleId="FollowedHyperlink">
    <w:name w:val="FollowedHyperlink"/>
    <w:basedOn w:val="DefaultParagraphFont"/>
    <w:uiPriority w:val="99"/>
    <w:semiHidden/>
    <w:unhideWhenUsed/>
    <w:rsid w:val="0090574F"/>
    <w:rPr>
      <w:color w:val="800080" w:themeColor="followedHyperlink"/>
      <w:u w:val="single"/>
    </w:rPr>
  </w:style>
  <w:style w:type="paragraph" w:styleId="Caption">
    <w:name w:val="caption"/>
    <w:basedOn w:val="Normal"/>
    <w:next w:val="Normal"/>
    <w:uiPriority w:val="35"/>
    <w:unhideWhenUsed/>
    <w:qFormat/>
    <w:rsid w:val="00913237"/>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269388">
      <w:bodyDiv w:val="1"/>
      <w:marLeft w:val="0"/>
      <w:marRight w:val="0"/>
      <w:marTop w:val="0"/>
      <w:marBottom w:val="0"/>
      <w:divBdr>
        <w:top w:val="none" w:sz="0" w:space="0" w:color="auto"/>
        <w:left w:val="none" w:sz="0" w:space="0" w:color="auto"/>
        <w:bottom w:val="none" w:sz="0" w:space="0" w:color="auto"/>
        <w:right w:val="none" w:sz="0" w:space="0" w:color="auto"/>
      </w:divBdr>
    </w:div>
    <w:div w:id="766081888">
      <w:bodyDiv w:val="1"/>
      <w:marLeft w:val="0"/>
      <w:marRight w:val="0"/>
      <w:marTop w:val="0"/>
      <w:marBottom w:val="0"/>
      <w:divBdr>
        <w:top w:val="none" w:sz="0" w:space="0" w:color="auto"/>
        <w:left w:val="none" w:sz="0" w:space="0" w:color="auto"/>
        <w:bottom w:val="none" w:sz="0" w:space="0" w:color="auto"/>
        <w:right w:val="none" w:sz="0" w:space="0" w:color="auto"/>
      </w:divBdr>
    </w:div>
    <w:div w:id="1796170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www.btl.gov.il/Publications/oni_report/Pages/oni2013.aspx" TargetMode="External"/><Relationship Id="rId2" Type="http://schemas.openxmlformats.org/officeDocument/2006/relationships/hyperlink" Target="http://www.cbs.gov.il/shnaton65/download/st05_27x.xls" TargetMode="External"/><Relationship Id="rId1" Type="http://schemas.openxmlformats.org/officeDocument/2006/relationships/hyperlink" Target="http://www.calcalist.co.il/local/articles/0,7340,L-3556659,0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27873E-1027-431D-A12B-B4F545ED2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9</Pages>
  <Words>1846</Words>
  <Characters>10524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Honeywell</Company>
  <LinksUpToDate>false</LinksUpToDate>
  <CharactersWithSpaces>12346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Yogev Sharvit</dc:creator>
  <cp:keywords/>
  <dc:description/>
  <cp:lastModifiedBy>Yogev Sharvit</cp:lastModifiedBy>
  <cp:revision>31</cp:revision>
  <dcterms:created xsi:type="dcterms:W3CDTF">2015-06-13T19:43:00Z</dcterms:created>
  <dcterms:modified xsi:type="dcterms:W3CDTF">2015-06-27T18:27:00Z</dcterms:modified>
</cp:coreProperties>
</file>